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482D847" w14:textId="724CA71D" w:rsidR="00B90DF6" w:rsidRPr="00A12B0C" w:rsidRDefault="00513339" w:rsidP="00513339">
      <w:pPr>
        <w:pStyle w:val="AnnexHeading1"/>
        <w:numPr>
          <w:ilvl w:val="0"/>
          <w:numId w:val="0"/>
        </w:numPr>
      </w:pPr>
      <w:bookmarkStart w:id="0" w:name="_Toc472079773"/>
      <w:r>
        <w:t xml:space="preserve">ANNEX B: </w:t>
      </w:r>
      <w:r w:rsidR="00B90DF6" w:rsidRPr="00A12B0C">
        <w:t>Characteristics of infectious disease</w:t>
      </w:r>
      <w:bookmarkEnd w:id="0"/>
    </w:p>
    <w:p w14:paraId="3AB00C7C" w14:textId="77777777" w:rsidR="00B90DF6" w:rsidRDefault="00B90DF6" w:rsidP="00B90DF6">
      <w:r>
        <w:t xml:space="preserve">Infectious diseases are caused by pathogenic agents such as bacteria, viruses or parasites that can be transmitted from person to person, either directly or via a vector.  The risks posed by, and actions required to contain, infectious disease outbreaks will depend on the particular characteristics of that disease, the causative agent and any vectors involved.  In order to develop an effective response to a public health emergency a basic understanding of the nature of the disease, the causative agent (pathogen) and the susceptible population is important.  </w:t>
      </w:r>
    </w:p>
    <w:p w14:paraId="0EDBD215" w14:textId="77777777" w:rsidR="00B90DF6" w:rsidRDefault="00B90DF6" w:rsidP="00B90DF6">
      <w:r>
        <w:t>The key disease characteristics from a public health perspective are:</w:t>
      </w:r>
    </w:p>
    <w:p w14:paraId="22172BB9" w14:textId="77777777" w:rsidR="00B90DF6" w:rsidRDefault="00B90DF6" w:rsidP="003948C9">
      <w:pPr>
        <w:pStyle w:val="Bulleted"/>
        <w:ind w:left="567" w:hanging="283"/>
      </w:pPr>
      <w:r>
        <w:t xml:space="preserve">The </w:t>
      </w:r>
      <w:r w:rsidRPr="0043210D">
        <w:rPr>
          <w:b/>
          <w:i/>
        </w:rPr>
        <w:t>transmission route</w:t>
      </w:r>
      <w:r>
        <w:t>, or how the agent is transferred from an infected host to a susceptible individual.  This could be through direct person-person or person-animal contact, indirectly via contaminated inanimate objects (</w:t>
      </w:r>
      <w:r w:rsidRPr="0043210D">
        <w:rPr>
          <w:i/>
        </w:rPr>
        <w:t>fomites</w:t>
      </w:r>
      <w:r>
        <w:t>) or animal vectors, or airborne transmission via liquid droplets in the air (</w:t>
      </w:r>
      <w:r w:rsidRPr="0043210D">
        <w:rPr>
          <w:i/>
        </w:rPr>
        <w:t>aerosols</w:t>
      </w:r>
      <w:r>
        <w:t xml:space="preserve">).   </w:t>
      </w:r>
    </w:p>
    <w:p w14:paraId="6DF5259B" w14:textId="77777777" w:rsidR="00B90DF6" w:rsidRDefault="00B90DF6" w:rsidP="003948C9">
      <w:pPr>
        <w:pStyle w:val="Bulleted"/>
        <w:ind w:left="567" w:hanging="283"/>
      </w:pPr>
      <w:r>
        <w:t xml:space="preserve">The time period that the infected individual is contagious, called the </w:t>
      </w:r>
      <w:r w:rsidRPr="0043210D">
        <w:rPr>
          <w:b/>
          <w:i/>
        </w:rPr>
        <w:t>infectious peri</w:t>
      </w:r>
      <w:r>
        <w:rPr>
          <w:b/>
          <w:i/>
        </w:rPr>
        <w:t>od</w:t>
      </w:r>
      <w:r>
        <w:t xml:space="preserve"> (or </w:t>
      </w:r>
      <w:r w:rsidRPr="0043210D">
        <w:rPr>
          <w:b/>
          <w:i/>
        </w:rPr>
        <w:t>communicable period</w:t>
      </w:r>
      <w:r>
        <w:t xml:space="preserve">).  In many diseases the infectious period begins at or after the first onset of symptoms, however in diseases such as influenza, measles and hepatitis A the infectious period begins when the individual is still asymptomatic.  </w:t>
      </w:r>
      <w:commentRangeStart w:id="1"/>
      <w:r>
        <w:t>In these cases it is difficult to identify and isolate all contagious individuals, as they may not be showing symptoms.</w:t>
      </w:r>
      <w:commentRangeEnd w:id="1"/>
      <w:r>
        <w:rPr>
          <w:rStyle w:val="CommentReference"/>
        </w:rPr>
        <w:commentReference w:id="1"/>
      </w:r>
    </w:p>
    <w:p w14:paraId="70B09D7F" w14:textId="77777777" w:rsidR="00B90DF6" w:rsidRDefault="00B90DF6" w:rsidP="003948C9">
      <w:pPr>
        <w:pStyle w:val="Bulleted"/>
        <w:ind w:left="567" w:hanging="283"/>
      </w:pPr>
      <w:r>
        <w:t xml:space="preserve">The </w:t>
      </w:r>
      <w:r w:rsidRPr="0034789A">
        <w:rPr>
          <w:b/>
          <w:i/>
        </w:rPr>
        <w:t>latency period</w:t>
      </w:r>
      <w:r>
        <w:t xml:space="preserve"> is the amount of time between a person being exposed to an infectious pathogen and the beginning of the infectious period, the shorter this time the more quickly a disease will spread through a susceptible population.  </w:t>
      </w:r>
    </w:p>
    <w:p w14:paraId="42970A72" w14:textId="77777777" w:rsidR="00B90DF6" w:rsidRDefault="00B90DF6" w:rsidP="003948C9">
      <w:pPr>
        <w:pStyle w:val="Bulleted"/>
        <w:ind w:left="567" w:hanging="283"/>
      </w:pPr>
      <w:r>
        <w:t>The ability of the causative agent to remain infectious (</w:t>
      </w:r>
      <w:r w:rsidRPr="009027EC">
        <w:rPr>
          <w:i/>
        </w:rPr>
        <w:t>viable</w:t>
      </w:r>
      <w:r>
        <w:t xml:space="preserve">) in the environment, sometimes called the </w:t>
      </w:r>
      <w:r w:rsidRPr="009027EC">
        <w:rPr>
          <w:b/>
          <w:i/>
        </w:rPr>
        <w:t>persistence</w:t>
      </w:r>
      <w:r>
        <w:t xml:space="preserve">. </w:t>
      </w:r>
    </w:p>
    <w:p w14:paraId="37789440" w14:textId="77777777" w:rsidR="00B90DF6" w:rsidRDefault="00B90DF6" w:rsidP="003948C9">
      <w:pPr>
        <w:pStyle w:val="Bulleted"/>
        <w:ind w:left="567" w:hanging="283"/>
      </w:pPr>
      <w:r>
        <w:t xml:space="preserve">The </w:t>
      </w:r>
      <w:r w:rsidRPr="009027EC">
        <w:rPr>
          <w:b/>
          <w:i/>
        </w:rPr>
        <w:t>infectious dose</w:t>
      </w:r>
      <w:r>
        <w:t xml:space="preserve"> is the quantity of pathogen that is required to cause an infection.  This is partially a characteristic of the disease, and partially depends on the immune response of the individual.  The infectious dose is measured in number of organisms.  Whilst many diseases require only a small number of pathogenic organisms to cause infection (Ebola has an infectious dose of 1-10 organisms</w:t>
      </w:r>
      <w:r>
        <w:rPr>
          <w:rStyle w:val="EndnoteReference"/>
        </w:rPr>
        <w:endnoteReference w:id="1"/>
      </w:r>
      <w:r>
        <w:t xml:space="preserve">) some require significantly more (a cholera infection requires from 1,000 to 100,000,000 vibrio </w:t>
      </w:r>
      <w:proofErr w:type="spellStart"/>
      <w:r>
        <w:t>cholerae</w:t>
      </w:r>
      <w:proofErr w:type="spellEnd"/>
      <w:r>
        <w:t xml:space="preserve"> bacteria</w:t>
      </w:r>
      <w:r>
        <w:rPr>
          <w:rStyle w:val="EndnoteReference"/>
        </w:rPr>
        <w:endnoteReference w:id="2"/>
      </w:r>
      <w:r>
        <w:t>).</w:t>
      </w:r>
    </w:p>
    <w:p w14:paraId="27DC371D" w14:textId="77777777" w:rsidR="00B90DF6" w:rsidRDefault="00B90DF6" w:rsidP="003948C9">
      <w:pPr>
        <w:pStyle w:val="Bulleted"/>
        <w:ind w:left="567" w:hanging="283"/>
      </w:pPr>
      <w:r>
        <w:t xml:space="preserve">The </w:t>
      </w:r>
      <w:r w:rsidRPr="009027EC">
        <w:rPr>
          <w:b/>
          <w:i/>
        </w:rPr>
        <w:t>virulence</w:t>
      </w:r>
      <w:r>
        <w:t xml:space="preserve"> of a pathogen, how able it is to invade and damage tissues of the host.  The case fatality rate (CFR) is a proxy indicator of virulence, expressed as the </w:t>
      </w:r>
      <w:r w:rsidRPr="00372C20">
        <w:t>percentage of persons diagnosed as having a specified disease who die as a result of that illness within a given period</w:t>
      </w:r>
      <w:r>
        <w:t>.  CFR is obviously also dependent on the susceptibility of the population and the effectiveness of the public health response.</w:t>
      </w:r>
    </w:p>
    <w:p w14:paraId="473866BB" w14:textId="65823B87" w:rsidR="00F84D13" w:rsidRDefault="00F84D13" w:rsidP="003948C9">
      <w:pPr>
        <w:pStyle w:val="Bulleted"/>
        <w:ind w:left="567" w:hanging="283"/>
        <w:sectPr w:rsidR="00F84D13" w:rsidSect="00F84D13">
          <w:headerReference w:type="default" r:id="rId10"/>
          <w:footerReference w:type="default" r:id="rId11"/>
          <w:pgSz w:w="11906" w:h="16838"/>
          <w:pgMar w:top="1440" w:right="1440" w:bottom="1440" w:left="1440" w:header="720" w:footer="720" w:gutter="0"/>
          <w:cols w:space="720"/>
          <w:docGrid w:linePitch="299"/>
        </w:sectPr>
      </w:pPr>
    </w:p>
    <w:tbl>
      <w:tblPr>
        <w:tblStyle w:val="TableGridLight"/>
        <w:tblW w:w="5000" w:type="pct"/>
        <w:tblLook w:val="04A0" w:firstRow="1" w:lastRow="0" w:firstColumn="1" w:lastColumn="0" w:noHBand="0" w:noVBand="1"/>
      </w:tblPr>
      <w:tblGrid>
        <w:gridCol w:w="1342"/>
        <w:gridCol w:w="1562"/>
        <w:gridCol w:w="2016"/>
        <w:gridCol w:w="1508"/>
        <w:gridCol w:w="1221"/>
        <w:gridCol w:w="1397"/>
        <w:gridCol w:w="1132"/>
        <w:gridCol w:w="1210"/>
        <w:gridCol w:w="1562"/>
      </w:tblGrid>
      <w:tr w:rsidR="009027EC" w:rsidRPr="00E45781" w14:paraId="003FD767" w14:textId="77777777" w:rsidTr="00531E45">
        <w:trPr>
          <w:trHeight w:val="630"/>
        </w:trPr>
        <w:tc>
          <w:tcPr>
            <w:tcW w:w="1444" w:type="dxa"/>
            <w:shd w:val="clear" w:color="auto" w:fill="61A534" w:themeFill="text2"/>
            <w:hideMark/>
          </w:tcPr>
          <w:p w14:paraId="680497D5" w14:textId="6335204F" w:rsidR="009027EC" w:rsidRPr="00E45781" w:rsidRDefault="009027EC" w:rsidP="00531E45">
            <w:pPr>
              <w:pStyle w:val="Tableheading"/>
            </w:pPr>
            <w:r w:rsidRPr="00E45781">
              <w:lastRenderedPageBreak/>
              <w:t>Disease</w:t>
            </w:r>
          </w:p>
        </w:tc>
        <w:tc>
          <w:tcPr>
            <w:tcW w:w="1683" w:type="dxa"/>
            <w:shd w:val="clear" w:color="auto" w:fill="61A534" w:themeFill="text2"/>
            <w:hideMark/>
          </w:tcPr>
          <w:p w14:paraId="1341A1DF" w14:textId="77777777" w:rsidR="009027EC" w:rsidRPr="00E45781" w:rsidRDefault="009027EC" w:rsidP="00531E45">
            <w:pPr>
              <w:pStyle w:val="Tableheading"/>
            </w:pPr>
            <w:r w:rsidRPr="00E45781">
              <w:t>Causative agent</w:t>
            </w:r>
          </w:p>
        </w:tc>
        <w:tc>
          <w:tcPr>
            <w:tcW w:w="2172" w:type="dxa"/>
            <w:shd w:val="clear" w:color="auto" w:fill="61A534" w:themeFill="text2"/>
            <w:hideMark/>
          </w:tcPr>
          <w:p w14:paraId="57EB932B" w14:textId="77777777" w:rsidR="009027EC" w:rsidRPr="00E45781" w:rsidRDefault="009027EC" w:rsidP="00531E45">
            <w:pPr>
              <w:pStyle w:val="Tableheading"/>
            </w:pPr>
            <w:r w:rsidRPr="00E45781">
              <w:t>Transmission / Vector</w:t>
            </w:r>
          </w:p>
        </w:tc>
        <w:tc>
          <w:tcPr>
            <w:tcW w:w="1624" w:type="dxa"/>
            <w:shd w:val="clear" w:color="auto" w:fill="61A534" w:themeFill="text2"/>
            <w:hideMark/>
          </w:tcPr>
          <w:p w14:paraId="0379CA71" w14:textId="77777777" w:rsidR="009027EC" w:rsidRPr="00E45781" w:rsidRDefault="009027EC" w:rsidP="00531E45">
            <w:pPr>
              <w:pStyle w:val="Tableheading"/>
            </w:pPr>
            <w:r w:rsidRPr="00E45781">
              <w:t>Infectious period</w:t>
            </w:r>
          </w:p>
        </w:tc>
        <w:tc>
          <w:tcPr>
            <w:tcW w:w="1315" w:type="dxa"/>
            <w:shd w:val="clear" w:color="auto" w:fill="61A534" w:themeFill="text2"/>
            <w:hideMark/>
          </w:tcPr>
          <w:p w14:paraId="72580127" w14:textId="77777777" w:rsidR="009027EC" w:rsidRPr="00E45781" w:rsidRDefault="009027EC" w:rsidP="00531E45">
            <w:pPr>
              <w:pStyle w:val="Tableheading"/>
            </w:pPr>
            <w:r w:rsidRPr="00E45781">
              <w:t>Incubation period</w:t>
            </w:r>
          </w:p>
        </w:tc>
        <w:tc>
          <w:tcPr>
            <w:tcW w:w="1505" w:type="dxa"/>
            <w:shd w:val="clear" w:color="auto" w:fill="61A534" w:themeFill="text2"/>
            <w:hideMark/>
          </w:tcPr>
          <w:p w14:paraId="35312689" w14:textId="77777777" w:rsidR="009027EC" w:rsidRPr="00E45781" w:rsidRDefault="009027EC" w:rsidP="00531E45">
            <w:pPr>
              <w:pStyle w:val="Tableheading"/>
            </w:pPr>
            <w:r w:rsidRPr="00E45781">
              <w:t>Common symptoms</w:t>
            </w:r>
          </w:p>
        </w:tc>
        <w:tc>
          <w:tcPr>
            <w:tcW w:w="1219" w:type="dxa"/>
            <w:shd w:val="clear" w:color="auto" w:fill="61A534" w:themeFill="text2"/>
            <w:hideMark/>
          </w:tcPr>
          <w:p w14:paraId="39A028DE" w14:textId="77777777" w:rsidR="009027EC" w:rsidRPr="00E45781" w:rsidRDefault="009027EC" w:rsidP="00531E45">
            <w:pPr>
              <w:pStyle w:val="Tableheading"/>
            </w:pPr>
            <w:r w:rsidRPr="00E45781">
              <w:t>Global incidence (annual)</w:t>
            </w:r>
          </w:p>
        </w:tc>
        <w:tc>
          <w:tcPr>
            <w:tcW w:w="1303" w:type="dxa"/>
            <w:shd w:val="clear" w:color="auto" w:fill="61A534" w:themeFill="text2"/>
            <w:hideMark/>
          </w:tcPr>
          <w:p w14:paraId="504C90FB" w14:textId="77777777" w:rsidR="009027EC" w:rsidRPr="00E45781" w:rsidRDefault="009027EC" w:rsidP="00531E45">
            <w:pPr>
              <w:pStyle w:val="Tableheading"/>
            </w:pPr>
            <w:r w:rsidRPr="00E45781">
              <w:t>Case fatality rate</w:t>
            </w:r>
          </w:p>
        </w:tc>
        <w:tc>
          <w:tcPr>
            <w:tcW w:w="1683" w:type="dxa"/>
            <w:shd w:val="clear" w:color="auto" w:fill="61A534" w:themeFill="text2"/>
            <w:hideMark/>
          </w:tcPr>
          <w:p w14:paraId="2462E033" w14:textId="77777777" w:rsidR="009027EC" w:rsidRPr="00E45781" w:rsidRDefault="009027EC" w:rsidP="00531E45">
            <w:pPr>
              <w:pStyle w:val="Tableheading"/>
            </w:pPr>
            <w:r w:rsidRPr="00E45781">
              <w:t>Notes</w:t>
            </w:r>
          </w:p>
        </w:tc>
      </w:tr>
      <w:tr w:rsidR="009027EC" w:rsidRPr="00E45781" w14:paraId="6573EC6C" w14:textId="77777777" w:rsidTr="00F84D13">
        <w:trPr>
          <w:trHeight w:val="945"/>
        </w:trPr>
        <w:tc>
          <w:tcPr>
            <w:tcW w:w="1444" w:type="dxa"/>
            <w:hideMark/>
          </w:tcPr>
          <w:p w14:paraId="2C3739D9" w14:textId="77777777" w:rsidR="009027EC" w:rsidRPr="00E45781" w:rsidRDefault="009027EC" w:rsidP="00531E45">
            <w:pPr>
              <w:spacing w:after="0"/>
              <w:rPr>
                <w:rFonts w:eastAsia="Times New Roman" w:cs="Times New Roman"/>
              </w:rPr>
            </w:pPr>
            <w:r w:rsidRPr="00E45781">
              <w:rPr>
                <w:rFonts w:eastAsia="Times New Roman" w:cs="Times New Roman"/>
              </w:rPr>
              <w:t>Ebola Virus Disease</w:t>
            </w:r>
          </w:p>
        </w:tc>
        <w:tc>
          <w:tcPr>
            <w:tcW w:w="1683" w:type="dxa"/>
            <w:hideMark/>
          </w:tcPr>
          <w:p w14:paraId="5DB312D9" w14:textId="77777777" w:rsidR="009027EC" w:rsidRPr="00E45781" w:rsidRDefault="009027EC" w:rsidP="00531E45">
            <w:pPr>
              <w:spacing w:after="0"/>
              <w:rPr>
                <w:rFonts w:eastAsia="Times New Roman" w:cs="Times New Roman"/>
              </w:rPr>
            </w:pPr>
            <w:r w:rsidRPr="00E45781">
              <w:rPr>
                <w:rFonts w:eastAsia="Times New Roman" w:cs="Times New Roman"/>
              </w:rPr>
              <w:t xml:space="preserve">Ebola </w:t>
            </w:r>
            <w:r>
              <w:rPr>
                <w:rFonts w:eastAsia="Times New Roman" w:cs="Times New Roman"/>
              </w:rPr>
              <w:t>Virus</w:t>
            </w:r>
          </w:p>
        </w:tc>
        <w:tc>
          <w:tcPr>
            <w:tcW w:w="2172" w:type="dxa"/>
            <w:hideMark/>
          </w:tcPr>
          <w:p w14:paraId="39E6EEF7" w14:textId="77777777" w:rsidR="009027EC" w:rsidRPr="00E45781" w:rsidRDefault="009027EC" w:rsidP="00531E45">
            <w:pPr>
              <w:spacing w:after="0"/>
              <w:rPr>
                <w:rFonts w:eastAsia="Times New Roman" w:cs="Times New Roman"/>
              </w:rPr>
            </w:pPr>
            <w:r w:rsidRPr="00E45781">
              <w:rPr>
                <w:rFonts w:eastAsia="Times New Roman" w:cs="Times New Roman"/>
              </w:rPr>
              <w:t>Infected body fluids, contaminated objects, infected fruit bats or primates</w:t>
            </w:r>
          </w:p>
        </w:tc>
        <w:tc>
          <w:tcPr>
            <w:tcW w:w="1624" w:type="dxa"/>
            <w:hideMark/>
          </w:tcPr>
          <w:p w14:paraId="6B6A554A" w14:textId="77777777" w:rsidR="009027EC" w:rsidRPr="00E45781" w:rsidRDefault="009027EC" w:rsidP="00531E45">
            <w:pPr>
              <w:spacing w:after="0"/>
              <w:rPr>
                <w:rFonts w:eastAsia="Times New Roman" w:cs="Times New Roman"/>
              </w:rPr>
            </w:pPr>
            <w:r w:rsidRPr="00E45781">
              <w:rPr>
                <w:rFonts w:eastAsia="Times New Roman" w:cs="Times New Roman"/>
              </w:rPr>
              <w:t xml:space="preserve">From </w:t>
            </w:r>
            <w:r>
              <w:rPr>
                <w:rFonts w:eastAsia="Times New Roman" w:cs="Times New Roman"/>
              </w:rPr>
              <w:t>onset</w:t>
            </w:r>
            <w:r w:rsidRPr="00E45781">
              <w:rPr>
                <w:rFonts w:eastAsia="Times New Roman" w:cs="Times New Roman"/>
              </w:rPr>
              <w:t xml:space="preserve"> of symptoms</w:t>
            </w:r>
          </w:p>
        </w:tc>
        <w:tc>
          <w:tcPr>
            <w:tcW w:w="1315" w:type="dxa"/>
            <w:hideMark/>
          </w:tcPr>
          <w:p w14:paraId="6956F6BC" w14:textId="77777777" w:rsidR="009027EC" w:rsidRPr="00E45781" w:rsidRDefault="009027EC" w:rsidP="00531E45">
            <w:pPr>
              <w:spacing w:after="0"/>
              <w:rPr>
                <w:rFonts w:eastAsia="Times New Roman" w:cs="Times New Roman"/>
              </w:rPr>
            </w:pPr>
            <w:r w:rsidRPr="00E45781">
              <w:rPr>
                <w:rFonts w:eastAsia="Times New Roman" w:cs="Times New Roman"/>
              </w:rPr>
              <w:t>2 - 21 days</w:t>
            </w:r>
          </w:p>
        </w:tc>
        <w:tc>
          <w:tcPr>
            <w:tcW w:w="1505" w:type="dxa"/>
            <w:hideMark/>
          </w:tcPr>
          <w:p w14:paraId="48447811" w14:textId="77777777" w:rsidR="009027EC" w:rsidRPr="00E45781" w:rsidRDefault="009027EC" w:rsidP="00531E45">
            <w:pPr>
              <w:spacing w:after="0"/>
              <w:rPr>
                <w:rFonts w:eastAsia="Times New Roman" w:cs="Times New Roman"/>
              </w:rPr>
            </w:pPr>
            <w:r w:rsidRPr="00E45781">
              <w:rPr>
                <w:rFonts w:eastAsia="Times New Roman" w:cs="Times New Roman"/>
              </w:rPr>
              <w:t>Fever, headache, weakness / fatigue, diarrhoea / vomiting, bleeding</w:t>
            </w:r>
          </w:p>
        </w:tc>
        <w:tc>
          <w:tcPr>
            <w:tcW w:w="1219" w:type="dxa"/>
            <w:hideMark/>
          </w:tcPr>
          <w:p w14:paraId="05BF01FD" w14:textId="77777777" w:rsidR="009027EC" w:rsidRPr="00E45781" w:rsidRDefault="009027EC" w:rsidP="00531E45">
            <w:pPr>
              <w:spacing w:after="0"/>
              <w:rPr>
                <w:rFonts w:eastAsia="Times New Roman" w:cs="Times New Roman"/>
              </w:rPr>
            </w:pPr>
            <w:r w:rsidRPr="00E45781">
              <w:rPr>
                <w:rFonts w:eastAsia="Times New Roman" w:cs="Times New Roman"/>
              </w:rPr>
              <w:t>N/A</w:t>
            </w:r>
          </w:p>
        </w:tc>
        <w:tc>
          <w:tcPr>
            <w:tcW w:w="1303" w:type="dxa"/>
            <w:hideMark/>
          </w:tcPr>
          <w:p w14:paraId="0BBC0A46" w14:textId="77777777" w:rsidR="009027EC" w:rsidRPr="00E45781" w:rsidRDefault="009027EC" w:rsidP="00531E45">
            <w:pPr>
              <w:spacing w:after="0"/>
              <w:rPr>
                <w:rFonts w:eastAsia="Times New Roman" w:cs="Times New Roman"/>
              </w:rPr>
            </w:pPr>
            <w:r w:rsidRPr="00E45781">
              <w:rPr>
                <w:rFonts w:eastAsia="Times New Roman" w:cs="Times New Roman"/>
              </w:rPr>
              <w:t>50 - 90%</w:t>
            </w:r>
          </w:p>
        </w:tc>
        <w:tc>
          <w:tcPr>
            <w:tcW w:w="1683" w:type="dxa"/>
            <w:hideMark/>
          </w:tcPr>
          <w:p w14:paraId="47E2DE38" w14:textId="77777777" w:rsidR="009027EC" w:rsidRPr="00E45781" w:rsidRDefault="009027EC" w:rsidP="00531E45">
            <w:pPr>
              <w:spacing w:after="0"/>
              <w:rPr>
                <w:rFonts w:eastAsia="Times New Roman" w:cs="Times New Roman"/>
              </w:rPr>
            </w:pPr>
          </w:p>
        </w:tc>
      </w:tr>
      <w:tr w:rsidR="009027EC" w:rsidRPr="00E45781" w14:paraId="67BCBDCA" w14:textId="77777777" w:rsidTr="00F84D13">
        <w:trPr>
          <w:trHeight w:val="1260"/>
        </w:trPr>
        <w:tc>
          <w:tcPr>
            <w:tcW w:w="1444" w:type="dxa"/>
            <w:hideMark/>
          </w:tcPr>
          <w:p w14:paraId="2B41E286" w14:textId="77777777" w:rsidR="009027EC" w:rsidRPr="00E45781" w:rsidRDefault="009027EC" w:rsidP="00531E45">
            <w:pPr>
              <w:spacing w:after="0"/>
              <w:rPr>
                <w:rFonts w:eastAsia="Times New Roman" w:cs="Times New Roman"/>
              </w:rPr>
            </w:pPr>
            <w:r w:rsidRPr="00E45781">
              <w:rPr>
                <w:rFonts w:eastAsia="Times New Roman" w:cs="Times New Roman"/>
              </w:rPr>
              <w:t>Cholera</w:t>
            </w:r>
          </w:p>
        </w:tc>
        <w:tc>
          <w:tcPr>
            <w:tcW w:w="1683" w:type="dxa"/>
            <w:hideMark/>
          </w:tcPr>
          <w:p w14:paraId="199BE8C0" w14:textId="77777777" w:rsidR="009027EC" w:rsidRPr="00E45781" w:rsidRDefault="009027EC" w:rsidP="00531E45">
            <w:pPr>
              <w:spacing w:after="0"/>
              <w:rPr>
                <w:rFonts w:eastAsia="Times New Roman" w:cs="Times New Roman"/>
              </w:rPr>
            </w:pPr>
            <w:r w:rsidRPr="00E45781">
              <w:rPr>
                <w:rFonts w:eastAsia="Times New Roman" w:cs="Times New Roman"/>
              </w:rPr>
              <w:t xml:space="preserve">Vibrio </w:t>
            </w:r>
            <w:proofErr w:type="spellStart"/>
            <w:r w:rsidRPr="00E45781">
              <w:rPr>
                <w:rFonts w:eastAsia="Times New Roman" w:cs="Times New Roman"/>
              </w:rPr>
              <w:t>cholerae</w:t>
            </w:r>
            <w:proofErr w:type="spellEnd"/>
            <w:r w:rsidRPr="00E45781">
              <w:rPr>
                <w:rFonts w:eastAsia="Times New Roman" w:cs="Times New Roman"/>
              </w:rPr>
              <w:t xml:space="preserve"> (bacteria)</w:t>
            </w:r>
          </w:p>
        </w:tc>
        <w:tc>
          <w:tcPr>
            <w:tcW w:w="2172" w:type="dxa"/>
            <w:hideMark/>
          </w:tcPr>
          <w:p w14:paraId="0D3CDED3" w14:textId="77777777" w:rsidR="009027EC" w:rsidRPr="00E45781" w:rsidRDefault="009027EC" w:rsidP="00531E45">
            <w:pPr>
              <w:spacing w:after="0"/>
              <w:rPr>
                <w:rFonts w:eastAsia="Times New Roman" w:cs="Times New Roman"/>
              </w:rPr>
            </w:pPr>
            <w:r w:rsidRPr="00E45781">
              <w:rPr>
                <w:rFonts w:eastAsia="Times New Roman" w:cs="Times New Roman"/>
              </w:rPr>
              <w:t>Infected food or water (faecal-oral route)</w:t>
            </w:r>
          </w:p>
        </w:tc>
        <w:tc>
          <w:tcPr>
            <w:tcW w:w="1624" w:type="dxa"/>
            <w:hideMark/>
          </w:tcPr>
          <w:p w14:paraId="733D0CA8" w14:textId="77777777" w:rsidR="009027EC" w:rsidRPr="00E45781" w:rsidRDefault="009027EC" w:rsidP="00531E45">
            <w:pPr>
              <w:spacing w:after="0"/>
              <w:rPr>
                <w:rFonts w:eastAsia="Times New Roman" w:cs="Times New Roman"/>
              </w:rPr>
            </w:pPr>
            <w:r w:rsidRPr="00E45781">
              <w:rPr>
                <w:rFonts w:eastAsia="Times New Roman" w:cs="Times New Roman"/>
              </w:rPr>
              <w:t>1 - 10 days after infection (even if asymptomatic)</w:t>
            </w:r>
          </w:p>
        </w:tc>
        <w:tc>
          <w:tcPr>
            <w:tcW w:w="1315" w:type="dxa"/>
            <w:hideMark/>
          </w:tcPr>
          <w:p w14:paraId="081B783B" w14:textId="77777777" w:rsidR="009027EC" w:rsidRPr="00E45781" w:rsidRDefault="009027EC" w:rsidP="00531E45">
            <w:pPr>
              <w:spacing w:after="0"/>
              <w:rPr>
                <w:rFonts w:eastAsia="Times New Roman" w:cs="Times New Roman"/>
              </w:rPr>
            </w:pPr>
            <w:r w:rsidRPr="00E45781">
              <w:rPr>
                <w:rFonts w:eastAsia="Times New Roman" w:cs="Times New Roman"/>
              </w:rPr>
              <w:t>2hrs - 5 days</w:t>
            </w:r>
          </w:p>
        </w:tc>
        <w:tc>
          <w:tcPr>
            <w:tcW w:w="1505" w:type="dxa"/>
            <w:hideMark/>
          </w:tcPr>
          <w:p w14:paraId="20E011D4" w14:textId="77777777" w:rsidR="009027EC" w:rsidRPr="00E45781" w:rsidRDefault="009027EC" w:rsidP="00531E45">
            <w:pPr>
              <w:spacing w:after="0"/>
              <w:rPr>
                <w:rFonts w:eastAsia="Times New Roman" w:cs="Times New Roman"/>
              </w:rPr>
            </w:pPr>
            <w:r w:rsidRPr="00E45781">
              <w:rPr>
                <w:rFonts w:eastAsia="Times New Roman" w:cs="Times New Roman"/>
              </w:rPr>
              <w:t>Acute watery diarrhoea</w:t>
            </w:r>
          </w:p>
        </w:tc>
        <w:tc>
          <w:tcPr>
            <w:tcW w:w="1219" w:type="dxa"/>
            <w:hideMark/>
          </w:tcPr>
          <w:p w14:paraId="4F18B3CD" w14:textId="77777777" w:rsidR="009027EC" w:rsidRPr="00E45781" w:rsidRDefault="009027EC" w:rsidP="00531E45">
            <w:pPr>
              <w:spacing w:after="0"/>
              <w:rPr>
                <w:rFonts w:eastAsia="Times New Roman" w:cs="Times New Roman"/>
              </w:rPr>
            </w:pPr>
            <w:r w:rsidRPr="00E45781">
              <w:rPr>
                <w:rFonts w:eastAsia="Times New Roman" w:cs="Times New Roman"/>
              </w:rPr>
              <w:t>2.8 million</w:t>
            </w:r>
          </w:p>
        </w:tc>
        <w:tc>
          <w:tcPr>
            <w:tcW w:w="1303" w:type="dxa"/>
            <w:hideMark/>
          </w:tcPr>
          <w:p w14:paraId="01B6ABC0" w14:textId="77777777" w:rsidR="009027EC" w:rsidRPr="00E45781" w:rsidRDefault="009027EC" w:rsidP="00531E45">
            <w:pPr>
              <w:spacing w:after="0"/>
              <w:rPr>
                <w:rFonts w:eastAsia="Times New Roman" w:cs="Times New Roman"/>
              </w:rPr>
            </w:pPr>
            <w:r w:rsidRPr="00E45781">
              <w:rPr>
                <w:rFonts w:eastAsia="Times New Roman" w:cs="Times New Roman"/>
              </w:rPr>
              <w:t>0 - 5%</w:t>
            </w:r>
          </w:p>
        </w:tc>
        <w:tc>
          <w:tcPr>
            <w:tcW w:w="1683" w:type="dxa"/>
            <w:hideMark/>
          </w:tcPr>
          <w:p w14:paraId="57E783EB" w14:textId="77777777" w:rsidR="009027EC" w:rsidRPr="00E45781" w:rsidRDefault="009027EC" w:rsidP="00531E45">
            <w:pPr>
              <w:spacing w:after="0"/>
              <w:rPr>
                <w:rFonts w:eastAsia="Times New Roman" w:cs="Times New Roman"/>
              </w:rPr>
            </w:pPr>
            <w:r w:rsidRPr="00E45781">
              <w:rPr>
                <w:rFonts w:eastAsia="Times New Roman" w:cs="Times New Roman"/>
              </w:rPr>
              <w:t>Roughly 80% of cases are asymptomatic</w:t>
            </w:r>
          </w:p>
        </w:tc>
      </w:tr>
      <w:tr w:rsidR="009027EC" w:rsidRPr="00E45781" w14:paraId="1119E2B5" w14:textId="77777777" w:rsidTr="00F84D13">
        <w:trPr>
          <w:trHeight w:val="1260"/>
        </w:trPr>
        <w:tc>
          <w:tcPr>
            <w:tcW w:w="1444" w:type="dxa"/>
            <w:hideMark/>
          </w:tcPr>
          <w:p w14:paraId="4EC9E30C" w14:textId="77777777" w:rsidR="009027EC" w:rsidRPr="00E45781" w:rsidRDefault="009027EC" w:rsidP="00531E45">
            <w:pPr>
              <w:spacing w:after="0"/>
              <w:rPr>
                <w:rFonts w:eastAsia="Times New Roman" w:cs="Times New Roman"/>
              </w:rPr>
            </w:pPr>
            <w:r w:rsidRPr="00E45781">
              <w:rPr>
                <w:rFonts w:eastAsia="Times New Roman" w:cs="Times New Roman"/>
              </w:rPr>
              <w:t>Dengue fever</w:t>
            </w:r>
          </w:p>
        </w:tc>
        <w:tc>
          <w:tcPr>
            <w:tcW w:w="1683" w:type="dxa"/>
            <w:hideMark/>
          </w:tcPr>
          <w:p w14:paraId="32181615" w14:textId="77777777" w:rsidR="009027EC" w:rsidRPr="00E45781" w:rsidRDefault="009027EC" w:rsidP="00531E45">
            <w:pPr>
              <w:spacing w:after="0"/>
              <w:rPr>
                <w:rFonts w:eastAsia="Times New Roman" w:cs="Times New Roman"/>
              </w:rPr>
            </w:pPr>
            <w:r w:rsidRPr="00E45781">
              <w:rPr>
                <w:rFonts w:eastAsia="Times New Roman" w:cs="Times New Roman"/>
              </w:rPr>
              <w:t>Dengue (virus)</w:t>
            </w:r>
          </w:p>
        </w:tc>
        <w:tc>
          <w:tcPr>
            <w:tcW w:w="2172" w:type="dxa"/>
            <w:hideMark/>
          </w:tcPr>
          <w:p w14:paraId="6113EB7C" w14:textId="77777777" w:rsidR="009027EC" w:rsidRPr="00E45781" w:rsidRDefault="009027EC" w:rsidP="00531E45">
            <w:pPr>
              <w:spacing w:after="0"/>
              <w:rPr>
                <w:rFonts w:eastAsia="Times New Roman" w:cs="Times New Roman"/>
              </w:rPr>
            </w:pPr>
            <w:proofErr w:type="spellStart"/>
            <w:r w:rsidRPr="00E45781">
              <w:rPr>
                <w:rFonts w:eastAsia="Times New Roman" w:cs="Times New Roman"/>
              </w:rPr>
              <w:t>Aedes</w:t>
            </w:r>
            <w:proofErr w:type="spellEnd"/>
            <w:r w:rsidRPr="00E45781">
              <w:rPr>
                <w:rFonts w:eastAsia="Times New Roman" w:cs="Times New Roman"/>
              </w:rPr>
              <w:t xml:space="preserve"> </w:t>
            </w:r>
            <w:proofErr w:type="spellStart"/>
            <w:r w:rsidRPr="00E45781">
              <w:rPr>
                <w:rFonts w:eastAsia="Times New Roman" w:cs="Times New Roman"/>
              </w:rPr>
              <w:t>aegypti</w:t>
            </w:r>
            <w:proofErr w:type="spellEnd"/>
            <w:r w:rsidRPr="00E45781">
              <w:rPr>
                <w:rFonts w:eastAsia="Times New Roman" w:cs="Times New Roman"/>
              </w:rPr>
              <w:t xml:space="preserve"> Mosquitos</w:t>
            </w:r>
          </w:p>
        </w:tc>
        <w:tc>
          <w:tcPr>
            <w:tcW w:w="1624" w:type="dxa"/>
            <w:hideMark/>
          </w:tcPr>
          <w:p w14:paraId="543DD54E" w14:textId="77777777" w:rsidR="009027EC" w:rsidRPr="00E45781" w:rsidRDefault="009027EC" w:rsidP="00531E45">
            <w:pPr>
              <w:spacing w:after="0"/>
              <w:rPr>
                <w:rFonts w:eastAsia="Times New Roman" w:cs="Times New Roman"/>
              </w:rPr>
            </w:pPr>
            <w:r w:rsidRPr="00E45781">
              <w:rPr>
                <w:rFonts w:eastAsia="Times New Roman" w:cs="Times New Roman"/>
              </w:rPr>
              <w:t>4 - 5 days after first symptoms appear</w:t>
            </w:r>
          </w:p>
        </w:tc>
        <w:tc>
          <w:tcPr>
            <w:tcW w:w="1315" w:type="dxa"/>
            <w:hideMark/>
          </w:tcPr>
          <w:p w14:paraId="632CE255" w14:textId="77777777" w:rsidR="009027EC" w:rsidRPr="00E45781" w:rsidRDefault="009027EC" w:rsidP="00531E45">
            <w:pPr>
              <w:spacing w:after="0"/>
              <w:rPr>
                <w:rFonts w:eastAsia="Times New Roman" w:cs="Times New Roman"/>
              </w:rPr>
            </w:pPr>
            <w:r w:rsidRPr="00E45781">
              <w:rPr>
                <w:rFonts w:eastAsia="Times New Roman" w:cs="Times New Roman"/>
              </w:rPr>
              <w:t>3 - 10 days</w:t>
            </w:r>
          </w:p>
        </w:tc>
        <w:tc>
          <w:tcPr>
            <w:tcW w:w="1505" w:type="dxa"/>
            <w:hideMark/>
          </w:tcPr>
          <w:p w14:paraId="4BF3BE48" w14:textId="77777777" w:rsidR="009027EC" w:rsidRPr="00E45781" w:rsidRDefault="009027EC" w:rsidP="00531E45">
            <w:pPr>
              <w:spacing w:after="0"/>
              <w:rPr>
                <w:rFonts w:eastAsia="Times New Roman" w:cs="Times New Roman"/>
              </w:rPr>
            </w:pPr>
            <w:r w:rsidRPr="00E45781">
              <w:rPr>
                <w:rFonts w:eastAsia="Times New Roman" w:cs="Times New Roman"/>
              </w:rPr>
              <w:t>Fever, headache, pain behind eyes, vomiting, joint pain, rash</w:t>
            </w:r>
          </w:p>
        </w:tc>
        <w:tc>
          <w:tcPr>
            <w:tcW w:w="1219" w:type="dxa"/>
            <w:hideMark/>
          </w:tcPr>
          <w:p w14:paraId="60D79D1B" w14:textId="77777777" w:rsidR="009027EC" w:rsidRPr="00E45781" w:rsidRDefault="009027EC" w:rsidP="00531E45">
            <w:pPr>
              <w:spacing w:after="0"/>
              <w:rPr>
                <w:rFonts w:eastAsia="Times New Roman" w:cs="Times New Roman"/>
              </w:rPr>
            </w:pPr>
            <w:r w:rsidRPr="00E45781">
              <w:rPr>
                <w:rFonts w:eastAsia="Times New Roman" w:cs="Times New Roman"/>
              </w:rPr>
              <w:t>50-100 million</w:t>
            </w:r>
          </w:p>
        </w:tc>
        <w:tc>
          <w:tcPr>
            <w:tcW w:w="1303" w:type="dxa"/>
            <w:hideMark/>
          </w:tcPr>
          <w:p w14:paraId="4AB3038D" w14:textId="77777777" w:rsidR="009027EC" w:rsidRPr="00E45781" w:rsidRDefault="009027EC" w:rsidP="00531E45">
            <w:pPr>
              <w:spacing w:after="0"/>
              <w:rPr>
                <w:rFonts w:eastAsia="Times New Roman" w:cs="Times New Roman"/>
              </w:rPr>
            </w:pPr>
            <w:r w:rsidRPr="00E45781">
              <w:rPr>
                <w:rFonts w:eastAsia="Times New Roman" w:cs="Times New Roman"/>
              </w:rPr>
              <w:t>0.05 - 0.5%</w:t>
            </w:r>
          </w:p>
        </w:tc>
        <w:tc>
          <w:tcPr>
            <w:tcW w:w="1683" w:type="dxa"/>
            <w:hideMark/>
          </w:tcPr>
          <w:p w14:paraId="509C23E5" w14:textId="77777777" w:rsidR="009027EC" w:rsidRPr="00E45781" w:rsidRDefault="009027EC" w:rsidP="00531E45">
            <w:pPr>
              <w:spacing w:after="0"/>
              <w:rPr>
                <w:rFonts w:eastAsia="Times New Roman" w:cs="Times New Roman"/>
              </w:rPr>
            </w:pPr>
            <w:r w:rsidRPr="00E45781">
              <w:rPr>
                <w:rFonts w:eastAsia="Times New Roman" w:cs="Times New Roman"/>
              </w:rPr>
              <w:t>Roughly 75% of cases are asymptomatic, 5% are severe cases which could be fatal</w:t>
            </w:r>
          </w:p>
        </w:tc>
      </w:tr>
      <w:tr w:rsidR="009027EC" w:rsidRPr="00E45781" w14:paraId="4115F56F" w14:textId="77777777" w:rsidTr="00F84D13">
        <w:trPr>
          <w:trHeight w:val="1260"/>
        </w:trPr>
        <w:tc>
          <w:tcPr>
            <w:tcW w:w="1444" w:type="dxa"/>
            <w:hideMark/>
          </w:tcPr>
          <w:p w14:paraId="291AFD6A" w14:textId="77777777" w:rsidR="009027EC" w:rsidRPr="00E45781" w:rsidRDefault="009027EC" w:rsidP="00531E45">
            <w:pPr>
              <w:spacing w:after="0"/>
              <w:rPr>
                <w:rFonts w:eastAsia="Times New Roman" w:cs="Times New Roman"/>
              </w:rPr>
            </w:pPr>
            <w:r w:rsidRPr="00E45781">
              <w:rPr>
                <w:rFonts w:eastAsia="Times New Roman" w:cs="Times New Roman"/>
              </w:rPr>
              <w:t>Swine flu</w:t>
            </w:r>
          </w:p>
        </w:tc>
        <w:tc>
          <w:tcPr>
            <w:tcW w:w="1683" w:type="dxa"/>
            <w:hideMark/>
          </w:tcPr>
          <w:p w14:paraId="0B78A62D" w14:textId="77777777" w:rsidR="009027EC" w:rsidRPr="00E45781" w:rsidRDefault="009027EC" w:rsidP="00531E45">
            <w:pPr>
              <w:spacing w:after="0"/>
              <w:rPr>
                <w:rFonts w:eastAsia="Times New Roman" w:cs="Times New Roman"/>
              </w:rPr>
            </w:pPr>
            <w:r w:rsidRPr="00E45781">
              <w:rPr>
                <w:rFonts w:eastAsia="Times New Roman" w:cs="Times New Roman"/>
              </w:rPr>
              <w:t xml:space="preserve">H1N1 Influenza (virus) </w:t>
            </w:r>
          </w:p>
        </w:tc>
        <w:tc>
          <w:tcPr>
            <w:tcW w:w="2172" w:type="dxa"/>
            <w:hideMark/>
          </w:tcPr>
          <w:p w14:paraId="2E8BB795" w14:textId="77777777" w:rsidR="009027EC" w:rsidRPr="00E45781" w:rsidRDefault="009027EC" w:rsidP="00531E45">
            <w:pPr>
              <w:spacing w:after="0"/>
              <w:rPr>
                <w:rFonts w:eastAsia="Times New Roman" w:cs="Times New Roman"/>
              </w:rPr>
            </w:pPr>
            <w:r>
              <w:rPr>
                <w:rFonts w:eastAsia="Times New Roman" w:cs="Times New Roman"/>
              </w:rPr>
              <w:t>Airborne respiratory droplets</w:t>
            </w:r>
          </w:p>
        </w:tc>
        <w:tc>
          <w:tcPr>
            <w:tcW w:w="1624" w:type="dxa"/>
            <w:hideMark/>
          </w:tcPr>
          <w:p w14:paraId="410EA18D" w14:textId="77777777" w:rsidR="009027EC" w:rsidRPr="00E45781" w:rsidRDefault="009027EC" w:rsidP="00531E45">
            <w:pPr>
              <w:spacing w:after="0"/>
              <w:rPr>
                <w:rFonts w:eastAsia="Times New Roman" w:cs="Times New Roman"/>
              </w:rPr>
            </w:pPr>
            <w:r w:rsidRPr="00E45781">
              <w:rPr>
                <w:rFonts w:eastAsia="Times New Roman" w:cs="Times New Roman"/>
              </w:rPr>
              <w:t xml:space="preserve">1 day </w:t>
            </w:r>
            <w:r w:rsidRPr="00147B65">
              <w:rPr>
                <w:rFonts w:eastAsia="Times New Roman" w:cs="Times New Roman"/>
                <w:b/>
              </w:rPr>
              <w:t>before</w:t>
            </w:r>
            <w:r w:rsidRPr="00E45781">
              <w:rPr>
                <w:rFonts w:eastAsia="Times New Roman" w:cs="Times New Roman"/>
              </w:rPr>
              <w:t xml:space="preserve"> </w:t>
            </w:r>
            <w:r>
              <w:rPr>
                <w:rFonts w:eastAsia="Times New Roman" w:cs="Times New Roman"/>
              </w:rPr>
              <w:t xml:space="preserve">onset of </w:t>
            </w:r>
            <w:r w:rsidRPr="00E45781">
              <w:rPr>
                <w:rFonts w:eastAsia="Times New Roman" w:cs="Times New Roman"/>
              </w:rPr>
              <w:t>symptoms for 5 - 7 days</w:t>
            </w:r>
          </w:p>
        </w:tc>
        <w:tc>
          <w:tcPr>
            <w:tcW w:w="1315" w:type="dxa"/>
            <w:hideMark/>
          </w:tcPr>
          <w:p w14:paraId="69587091" w14:textId="77777777" w:rsidR="009027EC" w:rsidRPr="00E45781" w:rsidRDefault="009027EC" w:rsidP="00531E45">
            <w:pPr>
              <w:spacing w:after="0"/>
              <w:rPr>
                <w:rFonts w:eastAsia="Times New Roman" w:cs="Times New Roman"/>
              </w:rPr>
            </w:pPr>
            <w:r w:rsidRPr="00E45781">
              <w:rPr>
                <w:rFonts w:eastAsia="Times New Roman" w:cs="Times New Roman"/>
              </w:rPr>
              <w:t>1 - 4 days</w:t>
            </w:r>
          </w:p>
        </w:tc>
        <w:tc>
          <w:tcPr>
            <w:tcW w:w="1505" w:type="dxa"/>
            <w:hideMark/>
          </w:tcPr>
          <w:p w14:paraId="00E35C6C" w14:textId="77777777" w:rsidR="009027EC" w:rsidRPr="00E45781" w:rsidRDefault="009027EC" w:rsidP="00531E45">
            <w:pPr>
              <w:spacing w:after="0"/>
              <w:rPr>
                <w:rFonts w:eastAsia="Times New Roman" w:cs="Times New Roman"/>
              </w:rPr>
            </w:pPr>
            <w:r w:rsidRPr="00E45781">
              <w:rPr>
                <w:rFonts w:eastAsia="Times New Roman" w:cs="Times New Roman"/>
              </w:rPr>
              <w:t>Fever, lethargy, lack of appetite, coughing</w:t>
            </w:r>
          </w:p>
        </w:tc>
        <w:tc>
          <w:tcPr>
            <w:tcW w:w="1219" w:type="dxa"/>
            <w:hideMark/>
          </w:tcPr>
          <w:p w14:paraId="2D5D445F" w14:textId="77777777" w:rsidR="009027EC" w:rsidRPr="00E45781" w:rsidRDefault="009027EC" w:rsidP="00531E45">
            <w:pPr>
              <w:spacing w:after="0"/>
              <w:rPr>
                <w:rFonts w:eastAsia="Times New Roman" w:cs="Times New Roman"/>
              </w:rPr>
            </w:pPr>
            <w:r w:rsidRPr="00E45781">
              <w:rPr>
                <w:rFonts w:eastAsia="Times New Roman" w:cs="Times New Roman"/>
              </w:rPr>
              <w:t>N/A</w:t>
            </w:r>
          </w:p>
        </w:tc>
        <w:tc>
          <w:tcPr>
            <w:tcW w:w="1303" w:type="dxa"/>
            <w:hideMark/>
          </w:tcPr>
          <w:p w14:paraId="6E14BFA2" w14:textId="77777777" w:rsidR="009027EC" w:rsidRPr="00E45781" w:rsidRDefault="009027EC" w:rsidP="00531E45">
            <w:pPr>
              <w:spacing w:after="0"/>
              <w:rPr>
                <w:rFonts w:eastAsia="Times New Roman" w:cs="Times New Roman"/>
              </w:rPr>
            </w:pPr>
            <w:r w:rsidRPr="00E45781">
              <w:rPr>
                <w:rFonts w:eastAsia="Times New Roman" w:cs="Times New Roman"/>
              </w:rPr>
              <w:t>0.02% (2009 pandemic)</w:t>
            </w:r>
          </w:p>
        </w:tc>
        <w:tc>
          <w:tcPr>
            <w:tcW w:w="1683" w:type="dxa"/>
            <w:hideMark/>
          </w:tcPr>
          <w:p w14:paraId="2D08AE5D" w14:textId="77777777" w:rsidR="009027EC" w:rsidRPr="00E45781" w:rsidRDefault="009027EC" w:rsidP="00531E45">
            <w:pPr>
              <w:spacing w:after="0"/>
              <w:rPr>
                <w:rFonts w:eastAsia="Times New Roman" w:cs="Times New Roman"/>
              </w:rPr>
            </w:pPr>
          </w:p>
        </w:tc>
      </w:tr>
      <w:tr w:rsidR="009027EC" w:rsidRPr="00E45781" w14:paraId="58FE0133" w14:textId="77777777" w:rsidTr="00F84D13">
        <w:trPr>
          <w:trHeight w:val="1260"/>
        </w:trPr>
        <w:tc>
          <w:tcPr>
            <w:tcW w:w="1444" w:type="dxa"/>
            <w:hideMark/>
          </w:tcPr>
          <w:p w14:paraId="02758064" w14:textId="77777777" w:rsidR="009027EC" w:rsidRPr="00E45781" w:rsidRDefault="009027EC" w:rsidP="00531E45">
            <w:pPr>
              <w:spacing w:after="0"/>
              <w:rPr>
                <w:rFonts w:eastAsia="Times New Roman" w:cs="Times New Roman"/>
              </w:rPr>
            </w:pPr>
            <w:r w:rsidRPr="00E45781">
              <w:rPr>
                <w:rFonts w:eastAsia="Times New Roman" w:cs="Times New Roman"/>
              </w:rPr>
              <w:t>Poliomyelitis</w:t>
            </w:r>
          </w:p>
        </w:tc>
        <w:tc>
          <w:tcPr>
            <w:tcW w:w="1683" w:type="dxa"/>
            <w:hideMark/>
          </w:tcPr>
          <w:p w14:paraId="70CB205E" w14:textId="77777777" w:rsidR="009027EC" w:rsidRPr="00E45781" w:rsidRDefault="009027EC" w:rsidP="00531E45">
            <w:pPr>
              <w:spacing w:after="0"/>
              <w:rPr>
                <w:rFonts w:eastAsia="Times New Roman" w:cs="Times New Roman"/>
              </w:rPr>
            </w:pPr>
            <w:r w:rsidRPr="00E45781">
              <w:rPr>
                <w:rFonts w:eastAsia="Times New Roman" w:cs="Times New Roman"/>
              </w:rPr>
              <w:t>Poliovirus (virus)</w:t>
            </w:r>
          </w:p>
        </w:tc>
        <w:tc>
          <w:tcPr>
            <w:tcW w:w="2172" w:type="dxa"/>
            <w:hideMark/>
          </w:tcPr>
          <w:p w14:paraId="3BA59E27" w14:textId="77777777" w:rsidR="009027EC" w:rsidRPr="00E45781" w:rsidRDefault="009027EC" w:rsidP="00531E45">
            <w:pPr>
              <w:spacing w:after="0"/>
              <w:rPr>
                <w:rFonts w:eastAsia="Times New Roman" w:cs="Times New Roman"/>
              </w:rPr>
            </w:pPr>
            <w:r w:rsidRPr="00E45781">
              <w:rPr>
                <w:rFonts w:eastAsia="Times New Roman" w:cs="Times New Roman"/>
              </w:rPr>
              <w:t>Infected food or water (faecal-oral route)</w:t>
            </w:r>
          </w:p>
        </w:tc>
        <w:tc>
          <w:tcPr>
            <w:tcW w:w="1624" w:type="dxa"/>
            <w:hideMark/>
          </w:tcPr>
          <w:p w14:paraId="5BB10D37" w14:textId="77777777" w:rsidR="009027EC" w:rsidRPr="00E45781" w:rsidRDefault="009027EC" w:rsidP="00531E45">
            <w:pPr>
              <w:spacing w:after="0"/>
              <w:rPr>
                <w:rFonts w:eastAsia="Times New Roman" w:cs="Times New Roman"/>
              </w:rPr>
            </w:pPr>
            <w:r w:rsidRPr="00E45781">
              <w:rPr>
                <w:rFonts w:eastAsia="Times New Roman" w:cs="Times New Roman"/>
              </w:rPr>
              <w:t xml:space="preserve">7 - 10 days </w:t>
            </w:r>
            <w:r w:rsidRPr="00147B65">
              <w:rPr>
                <w:rFonts w:eastAsia="Times New Roman" w:cs="Times New Roman"/>
                <w:b/>
              </w:rPr>
              <w:t>before</w:t>
            </w:r>
            <w:r w:rsidRPr="00E45781">
              <w:rPr>
                <w:rFonts w:eastAsia="Times New Roman" w:cs="Times New Roman"/>
              </w:rPr>
              <w:t xml:space="preserve"> the onset of symptoms</w:t>
            </w:r>
          </w:p>
        </w:tc>
        <w:tc>
          <w:tcPr>
            <w:tcW w:w="1315" w:type="dxa"/>
            <w:hideMark/>
          </w:tcPr>
          <w:p w14:paraId="3254E906" w14:textId="77777777" w:rsidR="009027EC" w:rsidRPr="00E45781" w:rsidRDefault="009027EC" w:rsidP="00531E45">
            <w:pPr>
              <w:spacing w:after="0"/>
              <w:rPr>
                <w:rFonts w:eastAsia="Times New Roman" w:cs="Times New Roman"/>
              </w:rPr>
            </w:pPr>
            <w:r w:rsidRPr="00E45781">
              <w:rPr>
                <w:rFonts w:eastAsia="Times New Roman" w:cs="Times New Roman"/>
              </w:rPr>
              <w:t>7 - 10 days</w:t>
            </w:r>
          </w:p>
        </w:tc>
        <w:tc>
          <w:tcPr>
            <w:tcW w:w="1505" w:type="dxa"/>
            <w:hideMark/>
          </w:tcPr>
          <w:p w14:paraId="7E7C502F" w14:textId="77777777" w:rsidR="009027EC" w:rsidRPr="00E45781" w:rsidRDefault="009027EC" w:rsidP="00531E45">
            <w:pPr>
              <w:spacing w:after="0"/>
              <w:rPr>
                <w:rFonts w:eastAsia="Times New Roman" w:cs="Times New Roman"/>
              </w:rPr>
            </w:pPr>
            <w:r w:rsidRPr="00E45781">
              <w:rPr>
                <w:rFonts w:eastAsia="Times New Roman" w:cs="Times New Roman"/>
              </w:rPr>
              <w:t>Fever, nausea, aching muscles, lethargy, loss of appetite, stiff neck / back</w:t>
            </w:r>
          </w:p>
        </w:tc>
        <w:tc>
          <w:tcPr>
            <w:tcW w:w="1219" w:type="dxa"/>
            <w:hideMark/>
          </w:tcPr>
          <w:p w14:paraId="021D2672" w14:textId="77777777" w:rsidR="009027EC" w:rsidRPr="00E45781" w:rsidRDefault="009027EC" w:rsidP="00531E45">
            <w:pPr>
              <w:spacing w:after="0"/>
              <w:rPr>
                <w:rFonts w:eastAsia="Times New Roman" w:cs="Times New Roman"/>
              </w:rPr>
            </w:pPr>
            <w:r w:rsidRPr="00E45781">
              <w:rPr>
                <w:rFonts w:eastAsia="Times New Roman" w:cs="Times New Roman"/>
              </w:rPr>
              <w:t>359 (2014)</w:t>
            </w:r>
          </w:p>
        </w:tc>
        <w:tc>
          <w:tcPr>
            <w:tcW w:w="1303" w:type="dxa"/>
            <w:hideMark/>
          </w:tcPr>
          <w:p w14:paraId="33589132" w14:textId="77777777" w:rsidR="009027EC" w:rsidRPr="00E45781" w:rsidRDefault="009027EC" w:rsidP="00531E45">
            <w:pPr>
              <w:spacing w:after="0"/>
              <w:rPr>
                <w:rFonts w:eastAsia="Times New Roman" w:cs="Times New Roman"/>
              </w:rPr>
            </w:pPr>
            <w:r w:rsidRPr="00E45781">
              <w:rPr>
                <w:rFonts w:eastAsia="Times New Roman" w:cs="Times New Roman"/>
              </w:rPr>
              <w:t>&lt;0.05% (children)</w:t>
            </w:r>
          </w:p>
        </w:tc>
        <w:tc>
          <w:tcPr>
            <w:tcW w:w="1683" w:type="dxa"/>
            <w:hideMark/>
          </w:tcPr>
          <w:p w14:paraId="67C70454" w14:textId="77777777" w:rsidR="009027EC" w:rsidRPr="00E45781" w:rsidRDefault="009027EC" w:rsidP="00531E45">
            <w:pPr>
              <w:spacing w:after="0"/>
              <w:rPr>
                <w:rFonts w:eastAsia="Times New Roman" w:cs="Times New Roman"/>
              </w:rPr>
            </w:pPr>
            <w:r w:rsidRPr="00E45781">
              <w:rPr>
                <w:rFonts w:eastAsia="Times New Roman" w:cs="Times New Roman"/>
              </w:rPr>
              <w:t>Roughly 76% of cases are asymptomatic</w:t>
            </w:r>
          </w:p>
        </w:tc>
      </w:tr>
      <w:tr w:rsidR="009027EC" w:rsidRPr="00E45781" w14:paraId="73C93086" w14:textId="77777777" w:rsidTr="00F84D13">
        <w:trPr>
          <w:trHeight w:val="945"/>
        </w:trPr>
        <w:tc>
          <w:tcPr>
            <w:tcW w:w="1444" w:type="dxa"/>
            <w:hideMark/>
          </w:tcPr>
          <w:p w14:paraId="2380F6F1" w14:textId="77777777" w:rsidR="009027EC" w:rsidRPr="00E45781" w:rsidRDefault="009027EC" w:rsidP="00531E45">
            <w:pPr>
              <w:spacing w:after="0"/>
              <w:rPr>
                <w:rFonts w:eastAsia="Times New Roman" w:cs="Times New Roman"/>
              </w:rPr>
            </w:pPr>
            <w:r w:rsidRPr="00E45781">
              <w:rPr>
                <w:rFonts w:eastAsia="Times New Roman" w:cs="Times New Roman"/>
              </w:rPr>
              <w:lastRenderedPageBreak/>
              <w:t>Hepatitis E</w:t>
            </w:r>
          </w:p>
        </w:tc>
        <w:tc>
          <w:tcPr>
            <w:tcW w:w="1683" w:type="dxa"/>
            <w:hideMark/>
          </w:tcPr>
          <w:p w14:paraId="258E473B" w14:textId="77777777" w:rsidR="009027EC" w:rsidRPr="00E45781" w:rsidRDefault="009027EC" w:rsidP="00531E45">
            <w:pPr>
              <w:spacing w:after="0"/>
              <w:rPr>
                <w:rFonts w:eastAsia="Times New Roman" w:cs="Times New Roman"/>
              </w:rPr>
            </w:pPr>
            <w:r w:rsidRPr="00E45781">
              <w:rPr>
                <w:rFonts w:eastAsia="Times New Roman" w:cs="Times New Roman"/>
              </w:rPr>
              <w:t xml:space="preserve">Hepatitis E Virus (HEV) </w:t>
            </w:r>
          </w:p>
        </w:tc>
        <w:tc>
          <w:tcPr>
            <w:tcW w:w="2172" w:type="dxa"/>
            <w:hideMark/>
          </w:tcPr>
          <w:p w14:paraId="5E4F6771" w14:textId="77777777" w:rsidR="009027EC" w:rsidRPr="00E45781" w:rsidRDefault="009027EC" w:rsidP="00531E45">
            <w:pPr>
              <w:spacing w:after="0"/>
              <w:rPr>
                <w:rFonts w:eastAsia="Times New Roman" w:cs="Times New Roman"/>
              </w:rPr>
            </w:pPr>
            <w:r w:rsidRPr="00E45781">
              <w:rPr>
                <w:rFonts w:eastAsia="Times New Roman" w:cs="Times New Roman"/>
              </w:rPr>
              <w:t>Infected food or water (faecal-oral route)</w:t>
            </w:r>
          </w:p>
        </w:tc>
        <w:tc>
          <w:tcPr>
            <w:tcW w:w="1624" w:type="dxa"/>
            <w:hideMark/>
          </w:tcPr>
          <w:p w14:paraId="27403F0E" w14:textId="77777777" w:rsidR="009027EC" w:rsidRPr="00E45781" w:rsidRDefault="009027EC" w:rsidP="00531E45">
            <w:pPr>
              <w:spacing w:after="0"/>
              <w:rPr>
                <w:rFonts w:eastAsia="Times New Roman" w:cs="Times New Roman"/>
              </w:rPr>
            </w:pPr>
            <w:r w:rsidRPr="00E45781">
              <w:rPr>
                <w:rFonts w:eastAsia="Times New Roman" w:cs="Times New Roman"/>
              </w:rPr>
              <w:t>Unknown</w:t>
            </w:r>
          </w:p>
        </w:tc>
        <w:tc>
          <w:tcPr>
            <w:tcW w:w="1315" w:type="dxa"/>
            <w:hideMark/>
          </w:tcPr>
          <w:p w14:paraId="66BFD03A" w14:textId="77777777" w:rsidR="009027EC" w:rsidRPr="00E45781" w:rsidRDefault="009027EC" w:rsidP="00531E45">
            <w:pPr>
              <w:spacing w:after="0"/>
              <w:rPr>
                <w:rFonts w:eastAsia="Times New Roman" w:cs="Times New Roman"/>
              </w:rPr>
            </w:pPr>
            <w:r w:rsidRPr="00E45781">
              <w:rPr>
                <w:rFonts w:eastAsia="Times New Roman" w:cs="Times New Roman"/>
              </w:rPr>
              <w:t>15 - 60 days</w:t>
            </w:r>
          </w:p>
        </w:tc>
        <w:tc>
          <w:tcPr>
            <w:tcW w:w="1505" w:type="dxa"/>
            <w:hideMark/>
          </w:tcPr>
          <w:p w14:paraId="67A44099" w14:textId="77777777" w:rsidR="009027EC" w:rsidRPr="00E45781" w:rsidRDefault="009027EC" w:rsidP="00531E45">
            <w:pPr>
              <w:spacing w:after="0"/>
              <w:rPr>
                <w:rFonts w:eastAsia="Times New Roman" w:cs="Times New Roman"/>
              </w:rPr>
            </w:pPr>
            <w:r w:rsidRPr="00E45781">
              <w:rPr>
                <w:rFonts w:eastAsia="Times New Roman" w:cs="Times New Roman"/>
              </w:rPr>
              <w:t>Fever, muscle / joint pain, nausea / vomiting, jaundice, dehydration</w:t>
            </w:r>
          </w:p>
        </w:tc>
        <w:tc>
          <w:tcPr>
            <w:tcW w:w="1219" w:type="dxa"/>
            <w:hideMark/>
          </w:tcPr>
          <w:p w14:paraId="234F0D44" w14:textId="77777777" w:rsidR="009027EC" w:rsidRPr="00E45781" w:rsidRDefault="009027EC" w:rsidP="00531E45">
            <w:pPr>
              <w:spacing w:after="0"/>
              <w:rPr>
                <w:rFonts w:eastAsia="Times New Roman" w:cs="Times New Roman"/>
              </w:rPr>
            </w:pPr>
            <w:r w:rsidRPr="00E45781">
              <w:rPr>
                <w:rFonts w:eastAsia="Times New Roman" w:cs="Times New Roman"/>
              </w:rPr>
              <w:t>20 million</w:t>
            </w:r>
          </w:p>
        </w:tc>
        <w:tc>
          <w:tcPr>
            <w:tcW w:w="1303" w:type="dxa"/>
            <w:hideMark/>
          </w:tcPr>
          <w:p w14:paraId="2ABCC1D2" w14:textId="77777777" w:rsidR="009027EC" w:rsidRPr="00E45781" w:rsidRDefault="009027EC" w:rsidP="00531E45">
            <w:pPr>
              <w:spacing w:after="0"/>
              <w:rPr>
                <w:rFonts w:eastAsia="Times New Roman" w:cs="Times New Roman"/>
              </w:rPr>
            </w:pPr>
            <w:r w:rsidRPr="00E45781">
              <w:rPr>
                <w:rFonts w:eastAsia="Times New Roman" w:cs="Times New Roman"/>
              </w:rPr>
              <w:t>4% (20% during pregnancy)</w:t>
            </w:r>
          </w:p>
        </w:tc>
        <w:tc>
          <w:tcPr>
            <w:tcW w:w="1683" w:type="dxa"/>
            <w:hideMark/>
          </w:tcPr>
          <w:p w14:paraId="26646025" w14:textId="77777777" w:rsidR="009027EC" w:rsidRPr="00E45781" w:rsidRDefault="009027EC" w:rsidP="00531E45">
            <w:pPr>
              <w:spacing w:after="0"/>
              <w:rPr>
                <w:rFonts w:eastAsia="Times New Roman" w:cs="Times New Roman"/>
              </w:rPr>
            </w:pPr>
          </w:p>
        </w:tc>
      </w:tr>
      <w:tr w:rsidR="009027EC" w:rsidRPr="00E45781" w14:paraId="3CC35334" w14:textId="77777777" w:rsidTr="00F84D13">
        <w:trPr>
          <w:trHeight w:val="2205"/>
        </w:trPr>
        <w:tc>
          <w:tcPr>
            <w:tcW w:w="1444" w:type="dxa"/>
            <w:hideMark/>
          </w:tcPr>
          <w:p w14:paraId="085770A8" w14:textId="77777777" w:rsidR="009027EC" w:rsidRPr="00E45781" w:rsidRDefault="009027EC" w:rsidP="00531E45">
            <w:pPr>
              <w:spacing w:after="0"/>
              <w:rPr>
                <w:rFonts w:eastAsia="Times New Roman" w:cs="Times New Roman"/>
              </w:rPr>
            </w:pPr>
            <w:r w:rsidRPr="00E45781">
              <w:rPr>
                <w:rFonts w:eastAsia="Times New Roman" w:cs="Times New Roman"/>
              </w:rPr>
              <w:t>Tuberculosis disease</w:t>
            </w:r>
          </w:p>
        </w:tc>
        <w:tc>
          <w:tcPr>
            <w:tcW w:w="1683" w:type="dxa"/>
            <w:hideMark/>
          </w:tcPr>
          <w:p w14:paraId="1D8986C5" w14:textId="77777777" w:rsidR="009027EC" w:rsidRPr="00E45781" w:rsidRDefault="009027EC" w:rsidP="00531E45">
            <w:pPr>
              <w:spacing w:after="0"/>
              <w:rPr>
                <w:rFonts w:eastAsia="Times New Roman" w:cs="Times New Roman"/>
              </w:rPr>
            </w:pPr>
            <w:r w:rsidRPr="00E45781">
              <w:rPr>
                <w:rFonts w:eastAsia="Times New Roman" w:cs="Times New Roman"/>
              </w:rPr>
              <w:t>Mycobacterium tuberculosis (bacteria)</w:t>
            </w:r>
          </w:p>
        </w:tc>
        <w:tc>
          <w:tcPr>
            <w:tcW w:w="2172" w:type="dxa"/>
            <w:hideMark/>
          </w:tcPr>
          <w:p w14:paraId="4003EDB6" w14:textId="77777777" w:rsidR="009027EC" w:rsidRPr="00E45781" w:rsidRDefault="009027EC" w:rsidP="00531E45">
            <w:pPr>
              <w:spacing w:after="0"/>
              <w:rPr>
                <w:rFonts w:eastAsia="Times New Roman" w:cs="Times New Roman"/>
              </w:rPr>
            </w:pPr>
            <w:r>
              <w:rPr>
                <w:rFonts w:eastAsia="Times New Roman" w:cs="Times New Roman"/>
              </w:rPr>
              <w:t>Airborne respiratory droplets</w:t>
            </w:r>
          </w:p>
        </w:tc>
        <w:tc>
          <w:tcPr>
            <w:tcW w:w="1624" w:type="dxa"/>
            <w:hideMark/>
          </w:tcPr>
          <w:p w14:paraId="71C33728" w14:textId="77777777" w:rsidR="009027EC" w:rsidRPr="00E45781" w:rsidRDefault="009027EC" w:rsidP="00531E45">
            <w:pPr>
              <w:spacing w:after="0"/>
              <w:rPr>
                <w:rFonts w:eastAsia="Times New Roman" w:cs="Times New Roman"/>
              </w:rPr>
            </w:pPr>
            <w:r w:rsidRPr="00E45781">
              <w:rPr>
                <w:rFonts w:eastAsia="Times New Roman" w:cs="Times New Roman"/>
              </w:rPr>
              <w:t>During active disease</w:t>
            </w:r>
          </w:p>
        </w:tc>
        <w:tc>
          <w:tcPr>
            <w:tcW w:w="1315" w:type="dxa"/>
            <w:hideMark/>
          </w:tcPr>
          <w:p w14:paraId="6927E3C7" w14:textId="77777777" w:rsidR="009027EC" w:rsidRPr="00E45781" w:rsidRDefault="009027EC" w:rsidP="00531E45">
            <w:pPr>
              <w:spacing w:after="0"/>
              <w:rPr>
                <w:rFonts w:eastAsia="Times New Roman" w:cs="Times New Roman"/>
              </w:rPr>
            </w:pPr>
            <w:r w:rsidRPr="00E45781">
              <w:rPr>
                <w:rFonts w:eastAsia="Times New Roman" w:cs="Times New Roman"/>
              </w:rPr>
              <w:t>weeks - years</w:t>
            </w:r>
          </w:p>
        </w:tc>
        <w:tc>
          <w:tcPr>
            <w:tcW w:w="1505" w:type="dxa"/>
            <w:hideMark/>
          </w:tcPr>
          <w:p w14:paraId="3A5A3903" w14:textId="77777777" w:rsidR="009027EC" w:rsidRPr="00E45781" w:rsidRDefault="009027EC" w:rsidP="00531E45">
            <w:pPr>
              <w:spacing w:after="0"/>
              <w:rPr>
                <w:rFonts w:eastAsia="Times New Roman" w:cs="Times New Roman"/>
              </w:rPr>
            </w:pPr>
            <w:r w:rsidRPr="00E45781">
              <w:rPr>
                <w:rFonts w:eastAsia="Times New Roman" w:cs="Times New Roman"/>
              </w:rPr>
              <w:t>Coughing, chest pain, weakness, weight loss, fever, night sweats</w:t>
            </w:r>
          </w:p>
        </w:tc>
        <w:tc>
          <w:tcPr>
            <w:tcW w:w="1219" w:type="dxa"/>
            <w:hideMark/>
          </w:tcPr>
          <w:p w14:paraId="3249FB43" w14:textId="77777777" w:rsidR="009027EC" w:rsidRPr="00E45781" w:rsidRDefault="009027EC" w:rsidP="00531E45">
            <w:pPr>
              <w:spacing w:after="0"/>
              <w:rPr>
                <w:rFonts w:eastAsia="Times New Roman" w:cs="Times New Roman"/>
              </w:rPr>
            </w:pPr>
            <w:r w:rsidRPr="00E45781">
              <w:rPr>
                <w:rFonts w:eastAsia="Times New Roman" w:cs="Times New Roman"/>
              </w:rPr>
              <w:t>9.6 million</w:t>
            </w:r>
          </w:p>
        </w:tc>
        <w:tc>
          <w:tcPr>
            <w:tcW w:w="1303" w:type="dxa"/>
            <w:hideMark/>
          </w:tcPr>
          <w:p w14:paraId="5B3904A4" w14:textId="77777777" w:rsidR="009027EC" w:rsidRPr="00E45781" w:rsidRDefault="009027EC" w:rsidP="00531E45">
            <w:pPr>
              <w:spacing w:after="0"/>
              <w:rPr>
                <w:rFonts w:eastAsia="Times New Roman" w:cs="Times New Roman"/>
              </w:rPr>
            </w:pPr>
            <w:r w:rsidRPr="00E45781">
              <w:rPr>
                <w:rFonts w:eastAsia="Times New Roman" w:cs="Times New Roman"/>
              </w:rPr>
              <w:t>23% (1997)</w:t>
            </w:r>
          </w:p>
        </w:tc>
        <w:tc>
          <w:tcPr>
            <w:tcW w:w="1683" w:type="dxa"/>
            <w:hideMark/>
          </w:tcPr>
          <w:p w14:paraId="3573F679" w14:textId="77777777" w:rsidR="009027EC" w:rsidRPr="00E45781" w:rsidRDefault="009027EC" w:rsidP="00531E45">
            <w:pPr>
              <w:spacing w:after="0"/>
              <w:rPr>
                <w:rFonts w:eastAsia="Times New Roman" w:cs="Times New Roman"/>
              </w:rPr>
            </w:pPr>
            <w:r w:rsidRPr="00E45781">
              <w:rPr>
                <w:rFonts w:eastAsia="Times New Roman" w:cs="Times New Roman"/>
              </w:rPr>
              <w:t>&gt;1 in 3 people globally are infected with Mycobacterium tuberculosis, most infections are controlled by the immune system and remain latent</w:t>
            </w:r>
          </w:p>
        </w:tc>
      </w:tr>
      <w:tr w:rsidR="009027EC" w:rsidRPr="00E45781" w14:paraId="62792AF7" w14:textId="77777777" w:rsidTr="00F84D13">
        <w:trPr>
          <w:trHeight w:val="945"/>
        </w:trPr>
        <w:tc>
          <w:tcPr>
            <w:tcW w:w="1444" w:type="dxa"/>
            <w:hideMark/>
          </w:tcPr>
          <w:p w14:paraId="2C5BC42A" w14:textId="77777777" w:rsidR="009027EC" w:rsidRPr="00E45781" w:rsidRDefault="009027EC" w:rsidP="00531E45">
            <w:pPr>
              <w:spacing w:after="0"/>
              <w:rPr>
                <w:rFonts w:eastAsia="Times New Roman" w:cs="Times New Roman"/>
              </w:rPr>
            </w:pPr>
            <w:r w:rsidRPr="00E45781">
              <w:rPr>
                <w:rFonts w:eastAsia="Times New Roman" w:cs="Times New Roman"/>
              </w:rPr>
              <w:t>Malaria</w:t>
            </w:r>
          </w:p>
        </w:tc>
        <w:tc>
          <w:tcPr>
            <w:tcW w:w="1683" w:type="dxa"/>
            <w:hideMark/>
          </w:tcPr>
          <w:p w14:paraId="578143AB" w14:textId="77777777" w:rsidR="009027EC" w:rsidRPr="00E45781" w:rsidRDefault="009027EC" w:rsidP="00531E45">
            <w:pPr>
              <w:spacing w:after="0"/>
              <w:rPr>
                <w:rFonts w:eastAsia="Times New Roman" w:cs="Times New Roman"/>
              </w:rPr>
            </w:pPr>
            <w:r w:rsidRPr="00E45781">
              <w:rPr>
                <w:rFonts w:eastAsia="Times New Roman" w:cs="Times New Roman"/>
              </w:rPr>
              <w:t>Plasmodium (protozoan parasite)</w:t>
            </w:r>
          </w:p>
        </w:tc>
        <w:tc>
          <w:tcPr>
            <w:tcW w:w="2172" w:type="dxa"/>
            <w:hideMark/>
          </w:tcPr>
          <w:p w14:paraId="150DCABE" w14:textId="77777777" w:rsidR="009027EC" w:rsidRPr="00E45781" w:rsidRDefault="009027EC" w:rsidP="00531E45">
            <w:pPr>
              <w:spacing w:after="0"/>
              <w:rPr>
                <w:rFonts w:eastAsia="Times New Roman" w:cs="Times New Roman"/>
              </w:rPr>
            </w:pPr>
            <w:r w:rsidRPr="00E45781">
              <w:rPr>
                <w:rFonts w:eastAsia="Times New Roman" w:cs="Times New Roman"/>
              </w:rPr>
              <w:t>Anopheles mosquito</w:t>
            </w:r>
          </w:p>
        </w:tc>
        <w:tc>
          <w:tcPr>
            <w:tcW w:w="1624" w:type="dxa"/>
            <w:hideMark/>
          </w:tcPr>
          <w:p w14:paraId="4D27A9C6" w14:textId="77777777" w:rsidR="009027EC" w:rsidRPr="00E45781" w:rsidRDefault="009027EC" w:rsidP="00531E45">
            <w:pPr>
              <w:spacing w:after="0"/>
              <w:rPr>
                <w:rFonts w:eastAsia="Times New Roman" w:cs="Times New Roman"/>
              </w:rPr>
            </w:pPr>
            <w:r w:rsidRPr="00E45781">
              <w:rPr>
                <w:rFonts w:eastAsia="Times New Roman" w:cs="Times New Roman"/>
              </w:rPr>
              <w:t>N/A</w:t>
            </w:r>
          </w:p>
        </w:tc>
        <w:tc>
          <w:tcPr>
            <w:tcW w:w="1315" w:type="dxa"/>
            <w:hideMark/>
          </w:tcPr>
          <w:p w14:paraId="05A8E71A" w14:textId="77777777" w:rsidR="009027EC" w:rsidRPr="00E45781" w:rsidRDefault="009027EC" w:rsidP="00531E45">
            <w:pPr>
              <w:spacing w:after="0"/>
              <w:rPr>
                <w:rFonts w:eastAsia="Times New Roman" w:cs="Times New Roman"/>
              </w:rPr>
            </w:pPr>
            <w:r w:rsidRPr="00E45781">
              <w:rPr>
                <w:rFonts w:eastAsia="Times New Roman" w:cs="Times New Roman"/>
              </w:rPr>
              <w:t>1 - 12 weeks</w:t>
            </w:r>
          </w:p>
        </w:tc>
        <w:tc>
          <w:tcPr>
            <w:tcW w:w="1505" w:type="dxa"/>
            <w:hideMark/>
          </w:tcPr>
          <w:p w14:paraId="3BB67F93" w14:textId="77777777" w:rsidR="009027EC" w:rsidRPr="00E45781" w:rsidRDefault="009027EC" w:rsidP="00531E45">
            <w:pPr>
              <w:spacing w:after="0"/>
              <w:rPr>
                <w:rFonts w:eastAsia="Times New Roman" w:cs="Times New Roman"/>
              </w:rPr>
            </w:pPr>
            <w:r w:rsidRPr="00E45781">
              <w:rPr>
                <w:rFonts w:eastAsia="Times New Roman" w:cs="Times New Roman"/>
              </w:rPr>
              <w:t>Headache, cough, fatigue, chills, muscle / joint pain</w:t>
            </w:r>
          </w:p>
        </w:tc>
        <w:tc>
          <w:tcPr>
            <w:tcW w:w="1219" w:type="dxa"/>
            <w:hideMark/>
          </w:tcPr>
          <w:p w14:paraId="63490DE8" w14:textId="77777777" w:rsidR="009027EC" w:rsidRPr="00E45781" w:rsidRDefault="009027EC" w:rsidP="00531E45">
            <w:pPr>
              <w:spacing w:after="0"/>
              <w:rPr>
                <w:rFonts w:eastAsia="Times New Roman" w:cs="Times New Roman"/>
              </w:rPr>
            </w:pPr>
            <w:r w:rsidRPr="00E45781">
              <w:rPr>
                <w:rFonts w:eastAsia="Times New Roman" w:cs="Times New Roman"/>
              </w:rPr>
              <w:t>300-500 million</w:t>
            </w:r>
          </w:p>
        </w:tc>
        <w:tc>
          <w:tcPr>
            <w:tcW w:w="1303" w:type="dxa"/>
            <w:hideMark/>
          </w:tcPr>
          <w:p w14:paraId="04A75F84" w14:textId="77777777" w:rsidR="009027EC" w:rsidRPr="00E45781" w:rsidRDefault="009027EC" w:rsidP="00531E45">
            <w:pPr>
              <w:spacing w:after="0"/>
              <w:rPr>
                <w:rFonts w:eastAsia="Times New Roman" w:cs="Times New Roman"/>
              </w:rPr>
            </w:pPr>
            <w:r w:rsidRPr="00E45781">
              <w:rPr>
                <w:rFonts w:eastAsia="Times New Roman" w:cs="Times New Roman"/>
              </w:rPr>
              <w:t>&lt;1%</w:t>
            </w:r>
          </w:p>
        </w:tc>
        <w:tc>
          <w:tcPr>
            <w:tcW w:w="1683" w:type="dxa"/>
            <w:hideMark/>
          </w:tcPr>
          <w:p w14:paraId="24080373" w14:textId="77777777" w:rsidR="009027EC" w:rsidRPr="00E45781" w:rsidRDefault="009027EC" w:rsidP="00531E45">
            <w:pPr>
              <w:spacing w:after="0"/>
              <w:rPr>
                <w:rFonts w:eastAsia="Times New Roman" w:cs="Times New Roman"/>
              </w:rPr>
            </w:pPr>
          </w:p>
        </w:tc>
      </w:tr>
      <w:tr w:rsidR="009027EC" w:rsidRPr="00E45781" w14:paraId="29B927C9" w14:textId="77777777" w:rsidTr="00F84D13">
        <w:trPr>
          <w:trHeight w:val="945"/>
        </w:trPr>
        <w:tc>
          <w:tcPr>
            <w:tcW w:w="1444" w:type="dxa"/>
          </w:tcPr>
          <w:p w14:paraId="5D723DEA" w14:textId="77777777" w:rsidR="009027EC" w:rsidRPr="00E45781" w:rsidRDefault="009027EC" w:rsidP="00531E45">
            <w:pPr>
              <w:spacing w:after="0"/>
              <w:rPr>
                <w:rFonts w:eastAsia="Times New Roman" w:cs="Times New Roman"/>
              </w:rPr>
            </w:pPr>
            <w:r>
              <w:rPr>
                <w:rFonts w:eastAsia="Times New Roman" w:cs="Times New Roman"/>
              </w:rPr>
              <w:t xml:space="preserve">Measles </w:t>
            </w:r>
          </w:p>
        </w:tc>
        <w:tc>
          <w:tcPr>
            <w:tcW w:w="1683" w:type="dxa"/>
          </w:tcPr>
          <w:p w14:paraId="02BE2157" w14:textId="77777777" w:rsidR="009027EC" w:rsidRPr="00E45781" w:rsidRDefault="009027EC" w:rsidP="00531E45">
            <w:pPr>
              <w:spacing w:after="0"/>
              <w:rPr>
                <w:rFonts w:eastAsia="Times New Roman" w:cs="Times New Roman"/>
              </w:rPr>
            </w:pPr>
            <w:r>
              <w:rPr>
                <w:rFonts w:eastAsia="Times New Roman" w:cs="Times New Roman"/>
              </w:rPr>
              <w:t>Measles virus</w:t>
            </w:r>
          </w:p>
        </w:tc>
        <w:tc>
          <w:tcPr>
            <w:tcW w:w="2172" w:type="dxa"/>
          </w:tcPr>
          <w:p w14:paraId="5311A639" w14:textId="77777777" w:rsidR="009027EC" w:rsidRPr="00E45781" w:rsidRDefault="009027EC" w:rsidP="00531E45">
            <w:pPr>
              <w:spacing w:after="0"/>
              <w:rPr>
                <w:rFonts w:eastAsia="Times New Roman" w:cs="Times New Roman"/>
              </w:rPr>
            </w:pPr>
            <w:r>
              <w:rPr>
                <w:rFonts w:eastAsia="Times New Roman" w:cs="Times New Roman"/>
              </w:rPr>
              <w:t>Airborne respiratory droplets</w:t>
            </w:r>
          </w:p>
        </w:tc>
        <w:tc>
          <w:tcPr>
            <w:tcW w:w="1624" w:type="dxa"/>
          </w:tcPr>
          <w:p w14:paraId="6722CB93" w14:textId="77777777" w:rsidR="009027EC" w:rsidRPr="00E45781" w:rsidRDefault="009027EC" w:rsidP="00531E45">
            <w:pPr>
              <w:spacing w:after="0"/>
              <w:rPr>
                <w:rFonts w:eastAsia="Times New Roman" w:cs="Times New Roman"/>
              </w:rPr>
            </w:pPr>
            <w:r>
              <w:rPr>
                <w:rFonts w:eastAsia="Times New Roman" w:cs="Times New Roman"/>
              </w:rPr>
              <w:t>F</w:t>
            </w:r>
            <w:r w:rsidRPr="0016649A">
              <w:rPr>
                <w:rFonts w:eastAsia="Times New Roman" w:cs="Times New Roman"/>
              </w:rPr>
              <w:t>rom 4 days before until 4 days after rash onset</w:t>
            </w:r>
          </w:p>
        </w:tc>
        <w:tc>
          <w:tcPr>
            <w:tcW w:w="1315" w:type="dxa"/>
          </w:tcPr>
          <w:p w14:paraId="3CE8A257" w14:textId="77777777" w:rsidR="009027EC" w:rsidRPr="00E45781" w:rsidRDefault="009027EC" w:rsidP="00531E45">
            <w:pPr>
              <w:spacing w:after="0"/>
              <w:rPr>
                <w:rFonts w:eastAsia="Times New Roman" w:cs="Times New Roman"/>
              </w:rPr>
            </w:pPr>
            <w:r>
              <w:rPr>
                <w:rFonts w:eastAsia="Times New Roman" w:cs="Times New Roman"/>
              </w:rPr>
              <w:t>7 – 21 days</w:t>
            </w:r>
          </w:p>
        </w:tc>
        <w:tc>
          <w:tcPr>
            <w:tcW w:w="1505" w:type="dxa"/>
          </w:tcPr>
          <w:p w14:paraId="43A8B893" w14:textId="77777777" w:rsidR="009027EC" w:rsidRPr="00E45781" w:rsidRDefault="009027EC" w:rsidP="00531E45">
            <w:pPr>
              <w:spacing w:after="0"/>
              <w:rPr>
                <w:rFonts w:eastAsia="Times New Roman" w:cs="Times New Roman"/>
              </w:rPr>
            </w:pPr>
            <w:r>
              <w:rPr>
                <w:rFonts w:eastAsia="Times New Roman" w:cs="Times New Roman"/>
              </w:rPr>
              <w:t>Fever, conjunctivitis, runny nose, cough, spots, rash</w:t>
            </w:r>
          </w:p>
        </w:tc>
        <w:tc>
          <w:tcPr>
            <w:tcW w:w="1219" w:type="dxa"/>
          </w:tcPr>
          <w:p w14:paraId="3ABDB87E" w14:textId="77777777" w:rsidR="009027EC" w:rsidRPr="00E45781" w:rsidRDefault="009027EC" w:rsidP="00531E45">
            <w:pPr>
              <w:spacing w:after="0"/>
              <w:rPr>
                <w:rFonts w:eastAsia="Times New Roman" w:cs="Times New Roman"/>
              </w:rPr>
            </w:pPr>
            <w:r>
              <w:rPr>
                <w:rFonts w:eastAsia="Times New Roman" w:cs="Times New Roman"/>
              </w:rPr>
              <w:t>20 million</w:t>
            </w:r>
          </w:p>
        </w:tc>
        <w:tc>
          <w:tcPr>
            <w:tcW w:w="1303" w:type="dxa"/>
          </w:tcPr>
          <w:p w14:paraId="1B5B927E" w14:textId="77777777" w:rsidR="009027EC" w:rsidRPr="00E45781" w:rsidRDefault="009027EC" w:rsidP="00531E45">
            <w:pPr>
              <w:spacing w:after="0"/>
              <w:rPr>
                <w:rFonts w:eastAsia="Times New Roman" w:cs="Times New Roman"/>
              </w:rPr>
            </w:pPr>
            <w:r>
              <w:rPr>
                <w:rFonts w:eastAsia="Times New Roman" w:cs="Times New Roman"/>
              </w:rPr>
              <w:t>0.6 – 7%</w:t>
            </w:r>
          </w:p>
        </w:tc>
        <w:tc>
          <w:tcPr>
            <w:tcW w:w="1683" w:type="dxa"/>
          </w:tcPr>
          <w:p w14:paraId="230FA1A6" w14:textId="77777777" w:rsidR="009027EC" w:rsidRPr="00E45781" w:rsidRDefault="009027EC" w:rsidP="00531E45">
            <w:pPr>
              <w:spacing w:after="0"/>
              <w:rPr>
                <w:rFonts w:eastAsia="Times New Roman" w:cs="Times New Roman"/>
              </w:rPr>
            </w:pPr>
            <w:r>
              <w:rPr>
                <w:rFonts w:eastAsia="Times New Roman" w:cs="Times New Roman"/>
              </w:rPr>
              <w:t>Measles can be more communicable during the incubation period than during the actual illness</w:t>
            </w:r>
          </w:p>
        </w:tc>
      </w:tr>
    </w:tbl>
    <w:p w14:paraId="5CD16460" w14:textId="1B06BC2E" w:rsidR="00E67D30" w:rsidRPr="00B15F4C" w:rsidRDefault="009027EC" w:rsidP="00513339">
      <w:r>
        <w:t xml:space="preserve">The details in the above table are for indication only.  </w:t>
      </w:r>
    </w:p>
    <w:sectPr w:rsidR="00E67D30" w:rsidRPr="00B15F4C" w:rsidSect="003948C9">
      <w:pgSz w:w="15840" w:h="12240" w:orient="landscape"/>
      <w:pgMar w:top="1440" w:right="1440" w:bottom="1440" w:left="1440" w:header="720" w:footer="720" w:gutter="0"/>
      <w:cols w:space="720"/>
      <w:noEndnote/>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James Brown" w:date="2016-12-15T15:04:00Z" w:initials="JB">
    <w:p w14:paraId="658261FA" w14:textId="77777777" w:rsidR="007A5587" w:rsidRDefault="007A5587" w:rsidP="00B90DF6">
      <w:pPr>
        <w:pStyle w:val="CommentText"/>
      </w:pPr>
      <w:r>
        <w:rPr>
          <w:rStyle w:val="CommentReference"/>
        </w:rPr>
        <w:annotationRef/>
      </w:r>
      <w:r>
        <w:t>Links to the efficacy of quarantine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8261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B07149" w14:textId="77777777" w:rsidR="00703650" w:rsidRDefault="00703650">
      <w:pPr>
        <w:spacing w:after="0" w:line="240" w:lineRule="auto"/>
      </w:pPr>
      <w:r>
        <w:separator/>
      </w:r>
    </w:p>
  </w:endnote>
  <w:endnote w:type="continuationSeparator" w:id="0">
    <w:p w14:paraId="23DF6211" w14:textId="77777777" w:rsidR="00703650" w:rsidRDefault="00703650">
      <w:pPr>
        <w:spacing w:after="0" w:line="240" w:lineRule="auto"/>
      </w:pPr>
      <w:r>
        <w:continuationSeparator/>
      </w:r>
    </w:p>
  </w:endnote>
  <w:endnote w:id="1">
    <w:p w14:paraId="55F5B286" w14:textId="77777777" w:rsidR="007A5587" w:rsidRPr="003948C9" w:rsidRDefault="007A5587" w:rsidP="008256A8">
      <w:pPr>
        <w:pStyle w:val="EndnoteText"/>
        <w:rPr>
          <w:rStyle w:val="EndnoteReference"/>
          <w:sz w:val="16"/>
          <w:szCs w:val="16"/>
          <w:vertAlign w:val="baseline"/>
        </w:rPr>
      </w:pPr>
      <w:r w:rsidRPr="003948C9">
        <w:rPr>
          <w:rStyle w:val="FootnoteReference"/>
          <w:sz w:val="16"/>
          <w:szCs w:val="16"/>
        </w:rPr>
        <w:endnoteRef/>
      </w:r>
      <w:r w:rsidRPr="003948C9">
        <w:rPr>
          <w:rStyle w:val="FootnoteReference"/>
          <w:sz w:val="16"/>
          <w:szCs w:val="16"/>
        </w:rPr>
        <w:t xml:space="preserve"> </w:t>
      </w:r>
      <w:r w:rsidRPr="003948C9">
        <w:rPr>
          <w:rStyle w:val="EndnoteReference"/>
          <w:sz w:val="16"/>
          <w:szCs w:val="16"/>
          <w:vertAlign w:val="baseline"/>
        </w:rPr>
        <w:t xml:space="preserve">Franz, D. R., </w:t>
      </w:r>
      <w:proofErr w:type="spellStart"/>
      <w:r w:rsidRPr="003948C9">
        <w:rPr>
          <w:rStyle w:val="EndnoteReference"/>
          <w:sz w:val="16"/>
          <w:szCs w:val="16"/>
          <w:vertAlign w:val="baseline"/>
        </w:rPr>
        <w:t>Jahrling</w:t>
      </w:r>
      <w:proofErr w:type="spellEnd"/>
      <w:r w:rsidRPr="003948C9">
        <w:rPr>
          <w:rStyle w:val="EndnoteReference"/>
          <w:sz w:val="16"/>
          <w:szCs w:val="16"/>
          <w:vertAlign w:val="baseline"/>
        </w:rPr>
        <w:t xml:space="preserve">, P. B., Friedlander, A. M., McClain, D. J., Hoover, D. L., </w:t>
      </w:r>
      <w:proofErr w:type="spellStart"/>
      <w:r w:rsidRPr="003948C9">
        <w:rPr>
          <w:rStyle w:val="EndnoteReference"/>
          <w:sz w:val="16"/>
          <w:szCs w:val="16"/>
          <w:vertAlign w:val="baseline"/>
        </w:rPr>
        <w:t>Bryne</w:t>
      </w:r>
      <w:proofErr w:type="spellEnd"/>
      <w:r w:rsidRPr="003948C9">
        <w:rPr>
          <w:rStyle w:val="EndnoteReference"/>
          <w:sz w:val="16"/>
          <w:szCs w:val="16"/>
          <w:vertAlign w:val="baseline"/>
        </w:rPr>
        <w:t xml:space="preserve">, W. R., </w:t>
      </w:r>
      <w:proofErr w:type="spellStart"/>
      <w:r w:rsidRPr="003948C9">
        <w:rPr>
          <w:rStyle w:val="EndnoteReference"/>
          <w:sz w:val="16"/>
          <w:szCs w:val="16"/>
          <w:vertAlign w:val="baseline"/>
        </w:rPr>
        <w:t>Pavlin</w:t>
      </w:r>
      <w:proofErr w:type="spellEnd"/>
      <w:r w:rsidRPr="003948C9">
        <w:rPr>
          <w:rStyle w:val="EndnoteReference"/>
          <w:sz w:val="16"/>
          <w:szCs w:val="16"/>
          <w:vertAlign w:val="baseline"/>
        </w:rPr>
        <w:t xml:space="preserve">, J. A., Christopher, G. W., &amp; </w:t>
      </w:r>
      <w:proofErr w:type="spellStart"/>
      <w:r w:rsidRPr="003948C9">
        <w:rPr>
          <w:rStyle w:val="EndnoteReference"/>
          <w:sz w:val="16"/>
          <w:szCs w:val="16"/>
          <w:vertAlign w:val="baseline"/>
        </w:rPr>
        <w:t>Eitzen</w:t>
      </w:r>
      <w:proofErr w:type="spellEnd"/>
      <w:r w:rsidRPr="003948C9">
        <w:rPr>
          <w:rStyle w:val="EndnoteReference"/>
          <w:sz w:val="16"/>
          <w:szCs w:val="16"/>
          <w:vertAlign w:val="baseline"/>
        </w:rPr>
        <w:t>, E. M. (1997). Clinical recognition and management of patients exposed to biological warfare agents. Jama, 278(5), 399-411.</w:t>
      </w:r>
    </w:p>
  </w:endnote>
  <w:endnote w:id="2">
    <w:p w14:paraId="4DCE9E70" w14:textId="77777777" w:rsidR="007A5587" w:rsidRPr="005E35C4" w:rsidRDefault="007A5587" w:rsidP="008256A8">
      <w:pPr>
        <w:pStyle w:val="EndnoteText"/>
        <w:rPr>
          <w:lang w:val="en-US"/>
        </w:rPr>
      </w:pPr>
      <w:r w:rsidRPr="003948C9">
        <w:rPr>
          <w:rStyle w:val="FootnoteReference"/>
          <w:sz w:val="16"/>
          <w:szCs w:val="16"/>
        </w:rPr>
        <w:endnoteRef/>
      </w:r>
      <w:r w:rsidRPr="003948C9">
        <w:rPr>
          <w:rStyle w:val="FootnoteReference"/>
          <w:sz w:val="16"/>
          <w:szCs w:val="16"/>
        </w:rPr>
        <w:t xml:space="preserve"> </w:t>
      </w:r>
      <w:proofErr w:type="spellStart"/>
      <w:r w:rsidRPr="003948C9">
        <w:rPr>
          <w:rStyle w:val="EndnoteReference"/>
          <w:sz w:val="16"/>
          <w:szCs w:val="16"/>
          <w:vertAlign w:val="baseline"/>
        </w:rPr>
        <w:t>Schmid</w:t>
      </w:r>
      <w:proofErr w:type="spellEnd"/>
      <w:r w:rsidRPr="003948C9">
        <w:rPr>
          <w:rStyle w:val="EndnoteReference"/>
          <w:sz w:val="16"/>
          <w:szCs w:val="16"/>
          <w:vertAlign w:val="baseline"/>
        </w:rPr>
        <w:t>-Hempel, Paul, and Steven A Frank. “Pathogenesis, Virulence, and I</w:t>
      </w:r>
      <w:bookmarkStart w:id="2" w:name="_GoBack"/>
      <w:bookmarkEnd w:id="2"/>
      <w:r w:rsidRPr="003948C9">
        <w:rPr>
          <w:rStyle w:val="EndnoteReference"/>
          <w:sz w:val="16"/>
          <w:szCs w:val="16"/>
          <w:vertAlign w:val="baseline"/>
        </w:rPr>
        <w:t>nfective Dose.” Ed. Marianne Manchester. </w:t>
      </w:r>
      <w:proofErr w:type="spellStart"/>
      <w:r w:rsidRPr="003948C9">
        <w:rPr>
          <w:rStyle w:val="EndnoteReference"/>
          <w:sz w:val="16"/>
          <w:szCs w:val="16"/>
          <w:vertAlign w:val="baseline"/>
        </w:rPr>
        <w:t>PLoS</w:t>
      </w:r>
      <w:proofErr w:type="spellEnd"/>
      <w:r w:rsidRPr="003948C9">
        <w:rPr>
          <w:rStyle w:val="EndnoteReference"/>
          <w:sz w:val="16"/>
          <w:szCs w:val="16"/>
          <w:vertAlign w:val="baseline"/>
        </w:rPr>
        <w:t xml:space="preserve"> Pathogens 3.10 (2007): e147. PMC. Web. 27 Jan. 2016.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xfam TSTAR PRO Headline">
    <w:altName w:val="Franklin Gothic Demi Cond"/>
    <w:charset w:val="00"/>
    <w:family w:val="auto"/>
    <w:pitch w:val="variable"/>
    <w:sig w:usb0="00000001" w:usb1="5000204A" w:usb2="00000000" w:usb3="00000000" w:csb0="0000009F" w:csb1="00000000"/>
  </w:font>
  <w:font w:name="Cambria">
    <w:panose1 w:val="02040503050406030204"/>
    <w:charset w:val="00"/>
    <w:family w:val="roman"/>
    <w:pitch w:val="variable"/>
    <w:sig w:usb0="E00002FF" w:usb1="400004FF" w:usb2="00000000" w:usb3="00000000" w:csb0="0000019F" w:csb1="00000000"/>
  </w:font>
  <w:font w:name="Oxfam Global Headline">
    <w:altName w:val="Arial"/>
    <w:charset w:val="00"/>
    <w:family w:val="swiss"/>
    <w:pitch w:val="variable"/>
    <w:sig w:usb0="00000001" w:usb1="1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Oxfam TSTAR PRO">
    <w:altName w:val="Franklin Gothic Demi Cond"/>
    <w:charset w:val="00"/>
    <w:family w:val="auto"/>
    <w:pitch w:val="variable"/>
    <w:sig w:usb0="00000001" w:usb1="5000204A"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55183" w14:textId="77777777" w:rsidR="007A5587" w:rsidRDefault="007A5587">
    <w:pPr>
      <w:jc w:val="right"/>
    </w:pPr>
    <w:r>
      <w:fldChar w:fldCharType="begin"/>
    </w:r>
    <w:r>
      <w:instrText>PAGE</w:instrText>
    </w:r>
    <w:r>
      <w:fldChar w:fldCharType="separate"/>
    </w:r>
    <w:r w:rsidR="003948C9">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4062B" w14:textId="77777777" w:rsidR="00703650" w:rsidRDefault="00703650">
      <w:pPr>
        <w:spacing w:after="0" w:line="240" w:lineRule="auto"/>
      </w:pPr>
      <w:r>
        <w:separator/>
      </w:r>
    </w:p>
  </w:footnote>
  <w:footnote w:type="continuationSeparator" w:id="0">
    <w:p w14:paraId="3A38872F" w14:textId="77777777" w:rsidR="00703650" w:rsidRDefault="007036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C9DE4" w14:textId="44377176" w:rsidR="007A5587" w:rsidRPr="00642AA5" w:rsidRDefault="007A5587" w:rsidP="00394D69">
    <w:pPr>
      <w:pStyle w:val="Header"/>
      <w:tabs>
        <w:tab w:val="clear" w:pos="4513"/>
        <w:tab w:val="clear" w:pos="9026"/>
        <w:tab w:val="left" w:pos="2430"/>
      </w:tabs>
      <w:rPr>
        <w:lang w:val="en-US"/>
      </w:rPr>
    </w:pPr>
    <w:r>
      <w:rPr>
        <w:lang w:val="en-US"/>
      </w:rPr>
      <w:t>DRAFT: 28/01/16</w:t>
    </w:r>
    <w:r w:rsidR="00394D69">
      <w:rPr>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F869F0"/>
    <w:multiLevelType w:val="hybridMultilevel"/>
    <w:tmpl w:val="CB086D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907066"/>
    <w:multiLevelType w:val="multilevel"/>
    <w:tmpl w:val="9CBC6BB6"/>
    <w:lvl w:ilvl="0">
      <w:start w:val="1"/>
      <w:numFmt w:val="bullet"/>
      <w:pStyle w:val="Bulleted"/>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093201F8"/>
    <w:multiLevelType w:val="multilevel"/>
    <w:tmpl w:val="7DCA170E"/>
    <w:lvl w:ilvl="0">
      <w:start w:val="1"/>
      <w:numFmt w:val="decimal"/>
      <w:lvlText w:val="%1."/>
      <w:lvlJc w:val="left"/>
      <w:pPr>
        <w:ind w:left="720" w:hanging="360"/>
      </w:pPr>
      <w:rPr>
        <w:rFonts w:hint="default"/>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0BA15986"/>
    <w:multiLevelType w:val="multilevel"/>
    <w:tmpl w:val="47FE4046"/>
    <w:lvl w:ilvl="0">
      <w:start w:val="1"/>
      <w:numFmt w:val="bullet"/>
      <w:lvlText w:val="-"/>
      <w:lvlJc w:val="left"/>
      <w:pPr>
        <w:ind w:left="390" w:firstLine="3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0F421C0E"/>
    <w:multiLevelType w:val="multilevel"/>
    <w:tmpl w:val="5D5895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0C7471D"/>
    <w:multiLevelType w:val="multilevel"/>
    <w:tmpl w:val="D816405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19661BCE"/>
    <w:multiLevelType w:val="hybridMultilevel"/>
    <w:tmpl w:val="88E0977A"/>
    <w:lvl w:ilvl="0" w:tplc="B3BA845C">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CE66B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4A6FF9"/>
    <w:multiLevelType w:val="multilevel"/>
    <w:tmpl w:val="D526B09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15:restartNumberingAfterBreak="0">
    <w:nsid w:val="22247801"/>
    <w:multiLevelType w:val="multilevel"/>
    <w:tmpl w:val="0A18B2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22A30638"/>
    <w:multiLevelType w:val="hybridMultilevel"/>
    <w:tmpl w:val="609474C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EC690B"/>
    <w:multiLevelType w:val="multilevel"/>
    <w:tmpl w:val="CEBA30AA"/>
    <w:lvl w:ilvl="0">
      <w:start w:val="1"/>
      <w:numFmt w:val="upperLetter"/>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34525F84"/>
    <w:multiLevelType w:val="hybridMultilevel"/>
    <w:tmpl w:val="12A25620"/>
    <w:lvl w:ilvl="0" w:tplc="9998CBF8">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1222A8"/>
    <w:multiLevelType w:val="hybridMultilevel"/>
    <w:tmpl w:val="62AA81F2"/>
    <w:lvl w:ilvl="0" w:tplc="0470BB20">
      <w:start w:val="1"/>
      <w:numFmt w:val="upperLetter"/>
      <w:pStyle w:val="Annexheading"/>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9B3552E"/>
    <w:multiLevelType w:val="multilevel"/>
    <w:tmpl w:val="7DCA170E"/>
    <w:lvl w:ilvl="0">
      <w:start w:val="1"/>
      <w:numFmt w:val="decimal"/>
      <w:lvlText w:val="%1."/>
      <w:lvlJc w:val="left"/>
      <w:pPr>
        <w:ind w:left="720" w:hanging="360"/>
      </w:pPr>
      <w:rPr>
        <w:rFonts w:hint="default"/>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3A405EAD"/>
    <w:multiLevelType w:val="multilevel"/>
    <w:tmpl w:val="3836BE96"/>
    <w:lvl w:ilvl="0">
      <w:start w:val="1"/>
      <w:numFmt w:val="decimal"/>
      <w:lvlText w:val="%1."/>
      <w:lvlJc w:val="left"/>
      <w:pPr>
        <w:ind w:left="360" w:hanging="360"/>
      </w:pPr>
      <w:rPr>
        <w:rFonts w:ascii="Oxfam TSTAR PRO Headline" w:eastAsiaTheme="minorHAnsi" w:hAnsi="Oxfam TSTAR PRO Headline" w:cstheme="minorBidi"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1D844FB"/>
    <w:multiLevelType w:val="hybridMultilevel"/>
    <w:tmpl w:val="1554A832"/>
    <w:lvl w:ilvl="0" w:tplc="21040DD8">
      <w:start w:val="2"/>
      <w:numFmt w:val="bullet"/>
      <w:lvlText w:val="-"/>
      <w:lvlJc w:val="right"/>
      <w:pPr>
        <w:ind w:left="1440" w:hanging="360"/>
      </w:pPr>
      <w:rPr>
        <w:rFonts w:ascii="Oxfam TSTAR PRO Headline" w:eastAsiaTheme="minorHAnsi" w:hAnsi="Oxfam TSTAR PRO Headline" w:cstheme="minorBidi" w:hint="default"/>
        <w:sz w:val="18"/>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43A71450"/>
    <w:multiLevelType w:val="hybridMultilevel"/>
    <w:tmpl w:val="DCE84E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1331E9"/>
    <w:multiLevelType w:val="multilevel"/>
    <w:tmpl w:val="7DCA170E"/>
    <w:lvl w:ilvl="0">
      <w:start w:val="1"/>
      <w:numFmt w:val="decimal"/>
      <w:lvlText w:val="%1."/>
      <w:lvlJc w:val="left"/>
      <w:pPr>
        <w:ind w:left="720" w:hanging="360"/>
      </w:pPr>
      <w:rPr>
        <w:rFonts w:hint="default"/>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1" w15:restartNumberingAfterBreak="0">
    <w:nsid w:val="4BC33F4A"/>
    <w:multiLevelType w:val="multilevel"/>
    <w:tmpl w:val="958C8A1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15:restartNumberingAfterBreak="0">
    <w:nsid w:val="4FE67636"/>
    <w:multiLevelType w:val="hybridMultilevel"/>
    <w:tmpl w:val="A6383078"/>
    <w:lvl w:ilvl="0" w:tplc="D8106EDE">
      <w:start w:val="1"/>
      <w:numFmt w:val="upperLetter"/>
      <w:pStyle w:val="Annex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0DD78D8"/>
    <w:multiLevelType w:val="multilevel"/>
    <w:tmpl w:val="958C8A1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15:restartNumberingAfterBreak="0">
    <w:nsid w:val="51143AFE"/>
    <w:multiLevelType w:val="multilevel"/>
    <w:tmpl w:val="A478240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5" w15:restartNumberingAfterBreak="0">
    <w:nsid w:val="52862C01"/>
    <w:multiLevelType w:val="multilevel"/>
    <w:tmpl w:val="958C8A1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6" w15:restartNumberingAfterBreak="0">
    <w:nsid w:val="5EC02577"/>
    <w:multiLevelType w:val="hybridMultilevel"/>
    <w:tmpl w:val="EA648C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FEE4D52"/>
    <w:multiLevelType w:val="hybridMultilevel"/>
    <w:tmpl w:val="F3082930"/>
    <w:lvl w:ilvl="0" w:tplc="772C41E8">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3042883"/>
    <w:multiLevelType w:val="multilevel"/>
    <w:tmpl w:val="E41ED1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7C482679"/>
    <w:multiLevelType w:val="hybridMultilevel"/>
    <w:tmpl w:val="B09A89F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E0F695E"/>
    <w:multiLevelType w:val="multilevel"/>
    <w:tmpl w:val="0CE28F5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EBD7C9D"/>
    <w:multiLevelType w:val="hybridMultilevel"/>
    <w:tmpl w:val="E06059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23"/>
  </w:num>
  <w:num w:numId="4">
    <w:abstractNumId w:val="24"/>
  </w:num>
  <w:num w:numId="5">
    <w:abstractNumId w:val="20"/>
  </w:num>
  <w:num w:numId="6">
    <w:abstractNumId w:val="7"/>
  </w:num>
  <w:num w:numId="7">
    <w:abstractNumId w:val="11"/>
  </w:num>
  <w:num w:numId="8">
    <w:abstractNumId w:val="5"/>
  </w:num>
  <w:num w:numId="9">
    <w:abstractNumId w:val="2"/>
  </w:num>
  <w:num w:numId="10">
    <w:abstractNumId w:val="31"/>
  </w:num>
  <w:num w:numId="11">
    <w:abstractNumId w:val="19"/>
  </w:num>
  <w:num w:numId="12">
    <w:abstractNumId w:val="26"/>
  </w:num>
  <w:num w:numId="13">
    <w:abstractNumId w:val="0"/>
  </w:num>
  <w:num w:numId="14">
    <w:abstractNumId w:val="1"/>
  </w:num>
  <w:num w:numId="15">
    <w:abstractNumId w:val="12"/>
  </w:num>
  <w:num w:numId="16">
    <w:abstractNumId w:val="29"/>
  </w:num>
  <w:num w:numId="17">
    <w:abstractNumId w:val="27"/>
  </w:num>
  <w:num w:numId="18">
    <w:abstractNumId w:val="30"/>
  </w:num>
  <w:num w:numId="19">
    <w:abstractNumId w:val="9"/>
  </w:num>
  <w:num w:numId="20">
    <w:abstractNumId w:val="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6"/>
  </w:num>
  <w:num w:numId="24">
    <w:abstractNumId w:val="17"/>
  </w:num>
  <w:num w:numId="25">
    <w:abstractNumId w:val="18"/>
  </w:num>
  <w:num w:numId="26">
    <w:abstractNumId w:val="14"/>
  </w:num>
  <w:num w:numId="27">
    <w:abstractNumId w:val="8"/>
  </w:num>
  <w:num w:numId="28">
    <w:abstractNumId w:val="13"/>
  </w:num>
  <w:num w:numId="29">
    <w:abstractNumId w:val="28"/>
  </w:num>
  <w:num w:numId="30">
    <w:abstractNumId w:val="28"/>
  </w:num>
  <w:num w:numId="31">
    <w:abstractNumId w:val="28"/>
  </w:num>
  <w:num w:numId="32">
    <w:abstractNumId w:val="28"/>
  </w:num>
  <w:num w:numId="33">
    <w:abstractNumId w:val="28"/>
  </w:num>
  <w:num w:numId="34">
    <w:abstractNumId w:val="28"/>
  </w:num>
  <w:num w:numId="35">
    <w:abstractNumId w:val="28"/>
  </w:num>
  <w:num w:numId="36">
    <w:abstractNumId w:val="28"/>
  </w:num>
  <w:num w:numId="37">
    <w:abstractNumId w:val="28"/>
  </w:num>
  <w:num w:numId="38">
    <w:abstractNumId w:val="17"/>
  </w:num>
  <w:num w:numId="39">
    <w:abstractNumId w:val="18"/>
  </w:num>
  <w:num w:numId="40">
    <w:abstractNumId w:val="14"/>
  </w:num>
  <w:num w:numId="41">
    <w:abstractNumId w:val="8"/>
  </w:num>
  <w:num w:numId="42">
    <w:abstractNumId w:val="13"/>
  </w:num>
  <w:num w:numId="43">
    <w:abstractNumId w:val="25"/>
  </w:num>
  <w:num w:numId="44">
    <w:abstractNumId w:val="21"/>
  </w:num>
  <w:num w:numId="45">
    <w:abstractNumId w:val="3"/>
  </w:num>
  <w:num w:numId="46">
    <w:abstractNumId w:val="15"/>
  </w:num>
  <w:num w:numId="47">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mes Brown">
    <w15:presenceInfo w15:providerId="AD" w15:userId="S-1-5-21-889838981-920820592-1903951286-7677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D30"/>
    <w:rsid w:val="0001472F"/>
    <w:rsid w:val="0001627D"/>
    <w:rsid w:val="000412EA"/>
    <w:rsid w:val="0007269A"/>
    <w:rsid w:val="0007312C"/>
    <w:rsid w:val="000C21B0"/>
    <w:rsid w:val="0011064C"/>
    <w:rsid w:val="001217B3"/>
    <w:rsid w:val="00147B65"/>
    <w:rsid w:val="0016649A"/>
    <w:rsid w:val="0017279B"/>
    <w:rsid w:val="00177797"/>
    <w:rsid w:val="001877E1"/>
    <w:rsid w:val="001B3375"/>
    <w:rsid w:val="001C6AB9"/>
    <w:rsid w:val="001E57BB"/>
    <w:rsid w:val="00223BB3"/>
    <w:rsid w:val="00226099"/>
    <w:rsid w:val="0025207C"/>
    <w:rsid w:val="0027088B"/>
    <w:rsid w:val="002E1546"/>
    <w:rsid w:val="002E7DD0"/>
    <w:rsid w:val="00325EAE"/>
    <w:rsid w:val="0034789A"/>
    <w:rsid w:val="00365A10"/>
    <w:rsid w:val="00372C20"/>
    <w:rsid w:val="00390B31"/>
    <w:rsid w:val="003948C9"/>
    <w:rsid w:val="00394D69"/>
    <w:rsid w:val="003A3F85"/>
    <w:rsid w:val="003A5C13"/>
    <w:rsid w:val="003A5D0E"/>
    <w:rsid w:val="003D32DF"/>
    <w:rsid w:val="003F77DB"/>
    <w:rsid w:val="0040115B"/>
    <w:rsid w:val="00412F1D"/>
    <w:rsid w:val="00413164"/>
    <w:rsid w:val="0043210D"/>
    <w:rsid w:val="00432A16"/>
    <w:rsid w:val="00441719"/>
    <w:rsid w:val="004472AD"/>
    <w:rsid w:val="00456BAD"/>
    <w:rsid w:val="00487D97"/>
    <w:rsid w:val="0049594D"/>
    <w:rsid w:val="004A2A7F"/>
    <w:rsid w:val="004C1905"/>
    <w:rsid w:val="004C7BE4"/>
    <w:rsid w:val="005069D4"/>
    <w:rsid w:val="00513339"/>
    <w:rsid w:val="00515184"/>
    <w:rsid w:val="005228BA"/>
    <w:rsid w:val="00531E45"/>
    <w:rsid w:val="0054669C"/>
    <w:rsid w:val="0057429E"/>
    <w:rsid w:val="005A2109"/>
    <w:rsid w:val="005B48F5"/>
    <w:rsid w:val="005C4C29"/>
    <w:rsid w:val="005D3D6E"/>
    <w:rsid w:val="005E35C4"/>
    <w:rsid w:val="005F09A9"/>
    <w:rsid w:val="005F3FF3"/>
    <w:rsid w:val="00611EFF"/>
    <w:rsid w:val="00642AA5"/>
    <w:rsid w:val="0064662D"/>
    <w:rsid w:val="00651F04"/>
    <w:rsid w:val="00653D45"/>
    <w:rsid w:val="00673101"/>
    <w:rsid w:val="006826AC"/>
    <w:rsid w:val="00690C55"/>
    <w:rsid w:val="006977E0"/>
    <w:rsid w:val="006D7A98"/>
    <w:rsid w:val="006E58D8"/>
    <w:rsid w:val="006E6E5A"/>
    <w:rsid w:val="006F2F54"/>
    <w:rsid w:val="006F4976"/>
    <w:rsid w:val="00703650"/>
    <w:rsid w:val="00704923"/>
    <w:rsid w:val="007171C5"/>
    <w:rsid w:val="00725EC1"/>
    <w:rsid w:val="00767B93"/>
    <w:rsid w:val="00776643"/>
    <w:rsid w:val="007A0E01"/>
    <w:rsid w:val="007A5587"/>
    <w:rsid w:val="007A6FBC"/>
    <w:rsid w:val="007A7996"/>
    <w:rsid w:val="007B3A27"/>
    <w:rsid w:val="007C594B"/>
    <w:rsid w:val="007C79A5"/>
    <w:rsid w:val="007D5B09"/>
    <w:rsid w:val="0080701D"/>
    <w:rsid w:val="00815DF8"/>
    <w:rsid w:val="008256A8"/>
    <w:rsid w:val="00836226"/>
    <w:rsid w:val="00861BB4"/>
    <w:rsid w:val="00884910"/>
    <w:rsid w:val="00891F8D"/>
    <w:rsid w:val="008E0841"/>
    <w:rsid w:val="009027EC"/>
    <w:rsid w:val="00910DF6"/>
    <w:rsid w:val="009111CD"/>
    <w:rsid w:val="00956A81"/>
    <w:rsid w:val="00964D19"/>
    <w:rsid w:val="00997A06"/>
    <w:rsid w:val="009C0C70"/>
    <w:rsid w:val="009C5EDB"/>
    <w:rsid w:val="009C7F59"/>
    <w:rsid w:val="009E2E84"/>
    <w:rsid w:val="00A12B0C"/>
    <w:rsid w:val="00A363FB"/>
    <w:rsid w:val="00B13B90"/>
    <w:rsid w:val="00B15F4C"/>
    <w:rsid w:val="00B201AF"/>
    <w:rsid w:val="00B23226"/>
    <w:rsid w:val="00B6723C"/>
    <w:rsid w:val="00B72FDD"/>
    <w:rsid w:val="00B758F3"/>
    <w:rsid w:val="00B77B6D"/>
    <w:rsid w:val="00B90DF6"/>
    <w:rsid w:val="00B91934"/>
    <w:rsid w:val="00BB4811"/>
    <w:rsid w:val="00BC2431"/>
    <w:rsid w:val="00BD68E1"/>
    <w:rsid w:val="00BF5EA0"/>
    <w:rsid w:val="00C136B0"/>
    <w:rsid w:val="00C224B2"/>
    <w:rsid w:val="00C75467"/>
    <w:rsid w:val="00C8437F"/>
    <w:rsid w:val="00C9090A"/>
    <w:rsid w:val="00CA6573"/>
    <w:rsid w:val="00CB09A9"/>
    <w:rsid w:val="00CD6EBC"/>
    <w:rsid w:val="00CE06AA"/>
    <w:rsid w:val="00CE4402"/>
    <w:rsid w:val="00D24CEF"/>
    <w:rsid w:val="00D56D86"/>
    <w:rsid w:val="00D94A9F"/>
    <w:rsid w:val="00DB3D9E"/>
    <w:rsid w:val="00DC58E1"/>
    <w:rsid w:val="00DD3A1B"/>
    <w:rsid w:val="00DF2186"/>
    <w:rsid w:val="00E03BE5"/>
    <w:rsid w:val="00E11C22"/>
    <w:rsid w:val="00E2422D"/>
    <w:rsid w:val="00E31739"/>
    <w:rsid w:val="00E45781"/>
    <w:rsid w:val="00E67D30"/>
    <w:rsid w:val="00E7458C"/>
    <w:rsid w:val="00EA5C87"/>
    <w:rsid w:val="00EF5579"/>
    <w:rsid w:val="00F34F8D"/>
    <w:rsid w:val="00F63C53"/>
    <w:rsid w:val="00F71A0D"/>
    <w:rsid w:val="00F84D13"/>
    <w:rsid w:val="00F930A7"/>
    <w:rsid w:val="00FB10D5"/>
    <w:rsid w:val="00FB2A93"/>
    <w:rsid w:val="00FF65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794867"/>
  <w15:docId w15:val="{F62FC077-1292-49CB-A652-EB773B507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0D5"/>
    <w:pPr>
      <w:spacing w:after="240"/>
    </w:pPr>
    <w:rPr>
      <w:color w:val="000000" w:themeColor="text1"/>
      <w:sz w:val="20"/>
      <w:szCs w:val="20"/>
    </w:rPr>
  </w:style>
  <w:style w:type="paragraph" w:styleId="Heading1">
    <w:name w:val="heading 1"/>
    <w:basedOn w:val="Normal"/>
    <w:next w:val="Normal"/>
    <w:link w:val="Heading1Char"/>
    <w:qFormat/>
    <w:rsid w:val="00FB10D5"/>
    <w:pPr>
      <w:keepNext/>
      <w:pageBreakBefore/>
      <w:numPr>
        <w:numId w:val="37"/>
      </w:numPr>
      <w:spacing w:before="120" w:line="240" w:lineRule="auto"/>
      <w:outlineLvl w:val="0"/>
    </w:pPr>
    <w:rPr>
      <w:rFonts w:asciiTheme="majorHAnsi" w:eastAsia="Cambria" w:hAnsiTheme="majorHAnsi" w:cs="Cambria"/>
      <w:b/>
      <w:bCs/>
      <w:kern w:val="32"/>
      <w:sz w:val="24"/>
      <w:szCs w:val="32"/>
    </w:rPr>
  </w:style>
  <w:style w:type="paragraph" w:styleId="Heading2">
    <w:name w:val="heading 2"/>
    <w:basedOn w:val="Normal"/>
    <w:next w:val="Normal"/>
    <w:link w:val="Heading2Char"/>
    <w:qFormat/>
    <w:rsid w:val="00FB10D5"/>
    <w:pPr>
      <w:keepNext/>
      <w:numPr>
        <w:ilvl w:val="1"/>
        <w:numId w:val="37"/>
      </w:numPr>
      <w:spacing w:before="240" w:line="240" w:lineRule="auto"/>
      <w:outlineLvl w:val="1"/>
    </w:pPr>
    <w:rPr>
      <w:rFonts w:asciiTheme="majorHAnsi" w:eastAsia="Cambria" w:hAnsiTheme="majorHAnsi" w:cs="Cambria"/>
      <w:b/>
      <w:bCs/>
      <w:iCs/>
    </w:rPr>
  </w:style>
  <w:style w:type="paragraph" w:styleId="Heading3">
    <w:name w:val="heading 3"/>
    <w:basedOn w:val="Normal"/>
    <w:next w:val="Normal"/>
    <w:link w:val="Heading3Char"/>
    <w:qFormat/>
    <w:rsid w:val="00FB10D5"/>
    <w:pPr>
      <w:keepNext/>
      <w:numPr>
        <w:ilvl w:val="2"/>
        <w:numId w:val="37"/>
      </w:numPr>
      <w:spacing w:after="0" w:line="240" w:lineRule="auto"/>
      <w:outlineLvl w:val="2"/>
    </w:pPr>
    <w:rPr>
      <w:rFonts w:asciiTheme="majorHAnsi" w:eastAsia="Cambria" w:hAnsiTheme="majorHAnsi" w:cs="Cambria"/>
      <w:b/>
      <w:bCs/>
      <w:szCs w:val="26"/>
    </w:rPr>
  </w:style>
  <w:style w:type="paragraph" w:styleId="Heading4">
    <w:name w:val="heading 4"/>
    <w:basedOn w:val="Normal"/>
    <w:next w:val="Normal"/>
    <w:link w:val="Heading4Char"/>
    <w:qFormat/>
    <w:rsid w:val="00FB10D5"/>
    <w:pPr>
      <w:keepNext/>
      <w:numPr>
        <w:ilvl w:val="3"/>
        <w:numId w:val="37"/>
      </w:numPr>
      <w:spacing w:after="0" w:line="240" w:lineRule="auto"/>
      <w:outlineLvl w:val="3"/>
    </w:pPr>
    <w:rPr>
      <w:rFonts w:asciiTheme="majorHAnsi" w:eastAsia="Cambria" w:hAnsiTheme="majorHAnsi" w:cs="Cambria"/>
      <w:b/>
      <w:bCs/>
      <w:szCs w:val="28"/>
    </w:rPr>
  </w:style>
  <w:style w:type="paragraph" w:styleId="Heading5">
    <w:name w:val="heading 5"/>
    <w:basedOn w:val="Normal"/>
    <w:next w:val="Normal"/>
    <w:link w:val="Heading5Char"/>
    <w:uiPriority w:val="9"/>
    <w:unhideWhenUsed/>
    <w:qFormat/>
    <w:rsid w:val="00FB10D5"/>
    <w:pPr>
      <w:keepNext/>
      <w:keepLines/>
      <w:numPr>
        <w:ilvl w:val="4"/>
        <w:numId w:val="37"/>
      </w:numPr>
      <w:spacing w:before="200" w:after="0" w:line="240" w:lineRule="auto"/>
      <w:outlineLvl w:val="4"/>
    </w:pPr>
    <w:rPr>
      <w:rFonts w:asciiTheme="majorHAnsi" w:eastAsiaTheme="majorEastAsia" w:hAnsiTheme="majorHAnsi" w:cstheme="majorBidi"/>
      <w:color w:val="802E08" w:themeColor="accent1" w:themeShade="7F"/>
      <w:szCs w:val="24"/>
    </w:rPr>
  </w:style>
  <w:style w:type="paragraph" w:styleId="Heading6">
    <w:name w:val="heading 6"/>
    <w:basedOn w:val="Normal"/>
    <w:next w:val="Normal"/>
    <w:link w:val="Heading6Char"/>
    <w:uiPriority w:val="9"/>
    <w:unhideWhenUsed/>
    <w:qFormat/>
    <w:rsid w:val="00FB10D5"/>
    <w:pPr>
      <w:keepNext/>
      <w:keepLines/>
      <w:numPr>
        <w:ilvl w:val="5"/>
        <w:numId w:val="37"/>
      </w:numPr>
      <w:spacing w:before="200" w:after="0" w:line="240" w:lineRule="auto"/>
      <w:outlineLvl w:val="5"/>
    </w:pPr>
    <w:rPr>
      <w:rFonts w:asciiTheme="majorHAnsi" w:eastAsiaTheme="majorEastAsia" w:hAnsiTheme="majorHAnsi" w:cstheme="majorBidi"/>
      <w:i/>
      <w:iCs/>
      <w:color w:val="802E08" w:themeColor="accent1" w:themeShade="7F"/>
      <w:szCs w:val="24"/>
    </w:rPr>
  </w:style>
  <w:style w:type="paragraph" w:styleId="Heading7">
    <w:name w:val="heading 7"/>
    <w:basedOn w:val="Normal"/>
    <w:next w:val="Normal"/>
    <w:link w:val="Heading7Char"/>
    <w:uiPriority w:val="9"/>
    <w:semiHidden/>
    <w:unhideWhenUsed/>
    <w:qFormat/>
    <w:rsid w:val="00FB10D5"/>
    <w:pPr>
      <w:keepNext/>
      <w:keepLines/>
      <w:numPr>
        <w:ilvl w:val="6"/>
        <w:numId w:val="37"/>
      </w:numPr>
      <w:spacing w:before="200" w:after="0" w:line="240" w:lineRule="auto"/>
      <w:outlineLvl w:val="6"/>
    </w:pPr>
    <w:rPr>
      <w:rFonts w:asciiTheme="majorHAnsi" w:eastAsiaTheme="majorEastAsia" w:hAnsiTheme="majorHAnsi" w:cstheme="majorBidi"/>
      <w:i/>
      <w:iCs/>
      <w:color w:val="404040" w:themeColor="text1" w:themeTint="BF"/>
      <w:szCs w:val="24"/>
    </w:rPr>
  </w:style>
  <w:style w:type="paragraph" w:styleId="Heading8">
    <w:name w:val="heading 8"/>
    <w:basedOn w:val="Normal"/>
    <w:next w:val="Normal"/>
    <w:link w:val="Heading8Char"/>
    <w:uiPriority w:val="9"/>
    <w:semiHidden/>
    <w:unhideWhenUsed/>
    <w:qFormat/>
    <w:rsid w:val="00FB10D5"/>
    <w:pPr>
      <w:keepNext/>
      <w:keepLines/>
      <w:numPr>
        <w:ilvl w:val="7"/>
        <w:numId w:val="37"/>
      </w:numPr>
      <w:spacing w:before="200" w:after="0" w:line="240" w:lineRule="auto"/>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FB10D5"/>
    <w:pPr>
      <w:keepNext/>
      <w:keepLines/>
      <w:numPr>
        <w:ilvl w:val="8"/>
        <w:numId w:val="1"/>
      </w:numPr>
      <w:spacing w:before="200" w:after="0" w:line="240" w:lineRule="auto"/>
      <w:ind w:left="1584" w:hanging="1584"/>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B10D5"/>
    <w:pPr>
      <w:spacing w:after="300" w:line="240" w:lineRule="auto"/>
      <w:contextualSpacing/>
    </w:pPr>
    <w:rPr>
      <w:rFonts w:ascii="Oxfam Global Headline" w:eastAsiaTheme="majorEastAsia" w:hAnsi="Oxfam Global Headline" w:cstheme="majorBidi"/>
      <w:spacing w:val="5"/>
      <w:kern w:val="28"/>
      <w:sz w:val="52"/>
      <w:szCs w:val="52"/>
    </w:rPr>
  </w:style>
  <w:style w:type="paragraph" w:styleId="Subtitle">
    <w:name w:val="Subtitle"/>
    <w:basedOn w:val="Normal"/>
    <w:next w:val="Normal"/>
    <w:uiPriority w:val="11"/>
    <w:qFormat/>
    <w:pPr>
      <w:numPr>
        <w:ilvl w:val="1"/>
      </w:numPr>
      <w:spacing w:after="160"/>
    </w:pPr>
    <w:rPr>
      <w:rFonts w:eastAsiaTheme="minorEastAsia"/>
      <w:color w:val="5A5A5A" w:themeColor="text1" w:themeTint="A5"/>
      <w:spacing w:val="15"/>
      <w:sz w:val="22"/>
      <w:szCs w:val="22"/>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15F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5F4C"/>
    <w:rPr>
      <w:rFonts w:ascii="Segoe UI" w:hAnsi="Segoe UI" w:cs="Segoe UI"/>
      <w:sz w:val="18"/>
      <w:szCs w:val="18"/>
    </w:rPr>
  </w:style>
  <w:style w:type="table" w:styleId="TableGridLight">
    <w:name w:val="Grid Table Light"/>
    <w:basedOn w:val="TableNormal"/>
    <w:uiPriority w:val="40"/>
    <w:rsid w:val="00E4578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noteText">
    <w:name w:val="footnote text"/>
    <w:basedOn w:val="Normal"/>
    <w:link w:val="FootnoteTextChar"/>
    <w:uiPriority w:val="99"/>
    <w:unhideWhenUsed/>
    <w:rsid w:val="005E35C4"/>
    <w:pPr>
      <w:spacing w:after="0" w:line="240" w:lineRule="auto"/>
    </w:pPr>
  </w:style>
  <w:style w:type="character" w:customStyle="1" w:styleId="FootnoteTextChar">
    <w:name w:val="Footnote Text Char"/>
    <w:basedOn w:val="DefaultParagraphFont"/>
    <w:link w:val="FootnoteText"/>
    <w:uiPriority w:val="99"/>
    <w:rsid w:val="005E35C4"/>
    <w:rPr>
      <w:sz w:val="20"/>
      <w:szCs w:val="20"/>
    </w:rPr>
  </w:style>
  <w:style w:type="character" w:styleId="FootnoteReference">
    <w:name w:val="footnote reference"/>
    <w:basedOn w:val="DefaultParagraphFont"/>
    <w:uiPriority w:val="99"/>
    <w:unhideWhenUsed/>
    <w:rsid w:val="005E35C4"/>
    <w:rPr>
      <w:vertAlign w:val="superscript"/>
    </w:rPr>
  </w:style>
  <w:style w:type="character" w:customStyle="1" w:styleId="apple-converted-space">
    <w:name w:val="apple-converted-space"/>
    <w:basedOn w:val="DefaultParagraphFont"/>
    <w:rsid w:val="005E35C4"/>
  </w:style>
  <w:style w:type="paragraph" w:styleId="ListParagraph">
    <w:name w:val="List Paragraph"/>
    <w:basedOn w:val="Normal"/>
    <w:link w:val="ListParagraphChar"/>
    <w:uiPriority w:val="34"/>
    <w:qFormat/>
    <w:rsid w:val="00FB10D5"/>
    <w:pPr>
      <w:ind w:left="720"/>
      <w:contextualSpacing/>
    </w:pPr>
    <w:rPr>
      <w:color w:val="auto"/>
      <w:sz w:val="22"/>
      <w:szCs w:val="22"/>
    </w:rPr>
  </w:style>
  <w:style w:type="paragraph" w:styleId="CommentSubject">
    <w:name w:val="annotation subject"/>
    <w:basedOn w:val="CommentText"/>
    <w:next w:val="CommentText"/>
    <w:link w:val="CommentSubjectChar"/>
    <w:uiPriority w:val="99"/>
    <w:semiHidden/>
    <w:unhideWhenUsed/>
    <w:rsid w:val="00412F1D"/>
    <w:rPr>
      <w:b/>
      <w:bCs/>
    </w:rPr>
  </w:style>
  <w:style w:type="character" w:customStyle="1" w:styleId="CommentSubjectChar">
    <w:name w:val="Comment Subject Char"/>
    <w:basedOn w:val="CommentTextChar"/>
    <w:link w:val="CommentSubject"/>
    <w:uiPriority w:val="99"/>
    <w:semiHidden/>
    <w:rsid w:val="00412F1D"/>
    <w:rPr>
      <w:b/>
      <w:bCs/>
      <w:sz w:val="20"/>
      <w:szCs w:val="20"/>
    </w:rPr>
  </w:style>
  <w:style w:type="paragraph" w:styleId="Revision">
    <w:name w:val="Revision"/>
    <w:hidden/>
    <w:uiPriority w:val="99"/>
    <w:semiHidden/>
    <w:rsid w:val="007D5B09"/>
    <w:pPr>
      <w:spacing w:after="0" w:line="240" w:lineRule="auto"/>
    </w:pPr>
  </w:style>
  <w:style w:type="paragraph" w:styleId="NoSpacing">
    <w:name w:val="No Spacing"/>
    <w:basedOn w:val="Normal"/>
    <w:link w:val="NoSpacingChar"/>
    <w:uiPriority w:val="1"/>
    <w:qFormat/>
    <w:rsid w:val="00FB10D5"/>
    <w:pPr>
      <w:spacing w:after="0" w:line="240" w:lineRule="auto"/>
    </w:pPr>
  </w:style>
  <w:style w:type="paragraph" w:styleId="Header">
    <w:name w:val="header"/>
    <w:basedOn w:val="Normal"/>
    <w:link w:val="HeaderChar"/>
    <w:uiPriority w:val="99"/>
    <w:unhideWhenUsed/>
    <w:rsid w:val="00642A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2AA5"/>
  </w:style>
  <w:style w:type="paragraph" w:styleId="Footer">
    <w:name w:val="footer"/>
    <w:basedOn w:val="Normal"/>
    <w:link w:val="FooterChar"/>
    <w:uiPriority w:val="99"/>
    <w:unhideWhenUsed/>
    <w:rsid w:val="00642A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2AA5"/>
  </w:style>
  <w:style w:type="paragraph" w:styleId="EndnoteText">
    <w:name w:val="endnote text"/>
    <w:basedOn w:val="Normal"/>
    <w:link w:val="EndnoteTextChar"/>
    <w:uiPriority w:val="99"/>
    <w:semiHidden/>
    <w:unhideWhenUsed/>
    <w:rsid w:val="005A2109"/>
    <w:pPr>
      <w:spacing w:after="0" w:line="240" w:lineRule="auto"/>
    </w:pPr>
  </w:style>
  <w:style w:type="character" w:customStyle="1" w:styleId="EndnoteTextChar">
    <w:name w:val="Endnote Text Char"/>
    <w:basedOn w:val="DefaultParagraphFont"/>
    <w:link w:val="EndnoteText"/>
    <w:uiPriority w:val="99"/>
    <w:semiHidden/>
    <w:rsid w:val="005A2109"/>
    <w:rPr>
      <w:sz w:val="20"/>
      <w:szCs w:val="20"/>
    </w:rPr>
  </w:style>
  <w:style w:type="character" w:styleId="EndnoteReference">
    <w:name w:val="endnote reference"/>
    <w:basedOn w:val="DefaultParagraphFont"/>
    <w:uiPriority w:val="99"/>
    <w:semiHidden/>
    <w:unhideWhenUsed/>
    <w:rsid w:val="005A2109"/>
    <w:rPr>
      <w:vertAlign w:val="superscript"/>
    </w:rPr>
  </w:style>
  <w:style w:type="character" w:styleId="IntenseReference">
    <w:name w:val="Intense Reference"/>
    <w:basedOn w:val="DefaultParagraphFont"/>
    <w:uiPriority w:val="32"/>
    <w:qFormat/>
    <w:rsid w:val="0027088B"/>
    <w:rPr>
      <w:b/>
      <w:bCs/>
      <w:smallCaps/>
      <w:color w:val="F16422" w:themeColor="accent1"/>
      <w:spacing w:val="5"/>
    </w:rPr>
  </w:style>
  <w:style w:type="character" w:styleId="IntenseEmphasis">
    <w:name w:val="Intense Emphasis"/>
    <w:basedOn w:val="DefaultParagraphFont"/>
    <w:uiPriority w:val="21"/>
    <w:qFormat/>
    <w:rsid w:val="001B3375"/>
    <w:rPr>
      <w:b/>
      <w:i/>
      <w:iCs/>
      <w:color w:val="auto"/>
    </w:rPr>
  </w:style>
  <w:style w:type="character" w:customStyle="1" w:styleId="Heading7Char">
    <w:name w:val="Heading 7 Char"/>
    <w:basedOn w:val="DefaultParagraphFont"/>
    <w:link w:val="Heading7"/>
    <w:uiPriority w:val="9"/>
    <w:semiHidden/>
    <w:rsid w:val="00FB10D5"/>
    <w:rPr>
      <w:rFonts w:asciiTheme="majorHAnsi" w:eastAsiaTheme="majorEastAsia" w:hAnsiTheme="majorHAnsi" w:cstheme="majorBidi"/>
      <w:i/>
      <w:iCs/>
      <w:color w:val="404040" w:themeColor="text1" w:themeTint="BF"/>
      <w:sz w:val="20"/>
      <w:szCs w:val="24"/>
    </w:rPr>
  </w:style>
  <w:style w:type="character" w:customStyle="1" w:styleId="Heading8Char">
    <w:name w:val="Heading 8 Char"/>
    <w:basedOn w:val="DefaultParagraphFont"/>
    <w:link w:val="Heading8"/>
    <w:uiPriority w:val="9"/>
    <w:semiHidden/>
    <w:rsid w:val="00FB10D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B10D5"/>
    <w:rPr>
      <w:rFonts w:asciiTheme="majorHAnsi" w:eastAsiaTheme="majorEastAsia" w:hAnsiTheme="majorHAnsi" w:cstheme="majorBidi"/>
      <w:i/>
      <w:iCs/>
      <w:color w:val="404040" w:themeColor="text1" w:themeTint="BF"/>
      <w:sz w:val="20"/>
      <w:szCs w:val="20"/>
    </w:rPr>
  </w:style>
  <w:style w:type="paragraph" w:customStyle="1" w:styleId="NumberedParagraph">
    <w:name w:val="Numbered Paragraph"/>
    <w:basedOn w:val="Normal"/>
    <w:rsid w:val="004C7BE4"/>
    <w:pPr>
      <w:spacing w:after="0"/>
      <w:contextualSpacing/>
    </w:pPr>
  </w:style>
  <w:style w:type="character" w:styleId="Emphasis">
    <w:name w:val="Emphasis"/>
    <w:basedOn w:val="DefaultParagraphFont"/>
    <w:uiPriority w:val="20"/>
    <w:qFormat/>
    <w:rsid w:val="004C7BE4"/>
    <w:rPr>
      <w:i/>
      <w:iCs/>
    </w:rPr>
  </w:style>
  <w:style w:type="paragraph" w:customStyle="1" w:styleId="Bulleted">
    <w:name w:val="Bulleted"/>
    <w:basedOn w:val="ListParagraph"/>
    <w:link w:val="BulletedChar"/>
    <w:qFormat/>
    <w:rsid w:val="001B3375"/>
    <w:pPr>
      <w:numPr>
        <w:numId w:val="2"/>
      </w:numPr>
    </w:pPr>
    <w:rPr>
      <w:color w:val="000000" w:themeColor="text1"/>
      <w:sz w:val="20"/>
      <w:szCs w:val="20"/>
    </w:rPr>
  </w:style>
  <w:style w:type="character" w:customStyle="1" w:styleId="BulletedChar">
    <w:name w:val="Bulleted Char"/>
    <w:basedOn w:val="ListParagraphChar"/>
    <w:link w:val="Bulleted"/>
    <w:rsid w:val="001B3375"/>
    <w:rPr>
      <w:color w:val="000000" w:themeColor="text1"/>
      <w:sz w:val="20"/>
      <w:szCs w:val="20"/>
    </w:rPr>
  </w:style>
  <w:style w:type="paragraph" w:customStyle="1" w:styleId="Bullet">
    <w:name w:val="Bullet"/>
    <w:basedOn w:val="ListParagraph"/>
    <w:link w:val="BulletChar"/>
    <w:rsid w:val="00FB10D5"/>
    <w:pPr>
      <w:numPr>
        <w:numId w:val="3"/>
      </w:numPr>
      <w:ind w:left="709" w:hanging="360"/>
    </w:pPr>
    <w:rPr>
      <w:color w:val="000000" w:themeColor="text1"/>
      <w:sz w:val="20"/>
      <w:szCs w:val="20"/>
    </w:rPr>
  </w:style>
  <w:style w:type="character" w:customStyle="1" w:styleId="BulletChar">
    <w:name w:val="Bullet Char"/>
    <w:basedOn w:val="ListParagraphChar"/>
    <w:link w:val="Bullet"/>
    <w:rsid w:val="00FB10D5"/>
    <w:rPr>
      <w:color w:val="000000" w:themeColor="text1"/>
      <w:sz w:val="20"/>
      <w:szCs w:val="20"/>
    </w:rPr>
  </w:style>
  <w:style w:type="paragraph" w:customStyle="1" w:styleId="Numbered">
    <w:name w:val="Numbered"/>
    <w:basedOn w:val="Bullet"/>
    <w:link w:val="NumberedChar"/>
    <w:qFormat/>
    <w:rsid w:val="00FB10D5"/>
    <w:pPr>
      <w:numPr>
        <w:numId w:val="5"/>
      </w:numPr>
    </w:pPr>
  </w:style>
  <w:style w:type="character" w:customStyle="1" w:styleId="NumberedChar">
    <w:name w:val="Numbered Char"/>
    <w:basedOn w:val="BulletChar"/>
    <w:link w:val="Numbered"/>
    <w:rsid w:val="00FB10D5"/>
    <w:rPr>
      <w:color w:val="000000" w:themeColor="text1"/>
      <w:sz w:val="20"/>
      <w:szCs w:val="20"/>
    </w:rPr>
  </w:style>
  <w:style w:type="paragraph" w:customStyle="1" w:styleId="Annexheading">
    <w:name w:val="Annex heading"/>
    <w:basedOn w:val="Heading2"/>
    <w:link w:val="AnnexheadingChar"/>
    <w:qFormat/>
    <w:rsid w:val="00FB10D5"/>
    <w:pPr>
      <w:numPr>
        <w:ilvl w:val="0"/>
        <w:numId w:val="46"/>
      </w:numPr>
    </w:pPr>
    <w:rPr>
      <w:rFonts w:eastAsia="Times New Roman" w:cs="Times New Roman"/>
    </w:rPr>
  </w:style>
  <w:style w:type="character" w:customStyle="1" w:styleId="AnnexheadingChar">
    <w:name w:val="Annex heading Char"/>
    <w:basedOn w:val="Heading2Char"/>
    <w:link w:val="Annexheading"/>
    <w:rsid w:val="00FB10D5"/>
    <w:rPr>
      <w:rFonts w:asciiTheme="majorHAnsi" w:eastAsia="Times New Roman" w:hAnsiTheme="majorHAnsi" w:cs="Times New Roman"/>
      <w:b/>
      <w:bCs/>
      <w:iCs/>
      <w:color w:val="000000" w:themeColor="text1"/>
      <w:sz w:val="20"/>
      <w:szCs w:val="20"/>
    </w:rPr>
  </w:style>
  <w:style w:type="paragraph" w:customStyle="1" w:styleId="SectionHeading">
    <w:name w:val="Section Heading"/>
    <w:basedOn w:val="Normal"/>
    <w:next w:val="Normal"/>
    <w:link w:val="SectionHeadingChar"/>
    <w:qFormat/>
    <w:rsid w:val="00FB10D5"/>
    <w:pPr>
      <w:spacing w:before="240" w:after="0"/>
    </w:pPr>
    <w:rPr>
      <w:b/>
      <w:sz w:val="22"/>
      <w:szCs w:val="22"/>
      <w:u w:val="single"/>
    </w:rPr>
  </w:style>
  <w:style w:type="character" w:customStyle="1" w:styleId="SectionHeadingChar">
    <w:name w:val="Section Heading Char"/>
    <w:basedOn w:val="DefaultParagraphFont"/>
    <w:link w:val="SectionHeading"/>
    <w:rsid w:val="00FB10D5"/>
    <w:rPr>
      <w:rFonts w:ascii="Oxfam TSTAR PRO" w:hAnsi="Oxfam TSTAR PRO"/>
      <w:b/>
      <w:color w:val="000000" w:themeColor="text1"/>
      <w:u w:val="single"/>
    </w:rPr>
  </w:style>
  <w:style w:type="paragraph" w:customStyle="1" w:styleId="Tableheading">
    <w:name w:val="Table heading"/>
    <w:basedOn w:val="SectionHeading"/>
    <w:link w:val="TableheadingChar"/>
    <w:qFormat/>
    <w:rsid w:val="00FB10D5"/>
    <w:pPr>
      <w:spacing w:before="0" w:line="240" w:lineRule="auto"/>
    </w:pPr>
    <w:rPr>
      <w:sz w:val="20"/>
      <w:szCs w:val="20"/>
    </w:rPr>
  </w:style>
  <w:style w:type="character" w:customStyle="1" w:styleId="TableheadingChar">
    <w:name w:val="Table heading Char"/>
    <w:basedOn w:val="SectionHeadingChar"/>
    <w:link w:val="Tableheading"/>
    <w:rsid w:val="00FB10D5"/>
    <w:rPr>
      <w:rFonts w:ascii="Oxfam TSTAR PRO" w:hAnsi="Oxfam TSTAR PRO"/>
      <w:b/>
      <w:color w:val="000000" w:themeColor="text1"/>
      <w:sz w:val="20"/>
      <w:szCs w:val="20"/>
      <w:u w:val="single"/>
    </w:rPr>
  </w:style>
  <w:style w:type="paragraph" w:customStyle="1" w:styleId="AnnexHeading1">
    <w:name w:val="Annex Heading 1"/>
    <w:basedOn w:val="Heading1"/>
    <w:link w:val="AnnexHeading1Char"/>
    <w:qFormat/>
    <w:rsid w:val="00FB10D5"/>
    <w:pPr>
      <w:numPr>
        <w:numId w:val="47"/>
      </w:numPr>
    </w:pPr>
    <w:rPr>
      <w:rFonts w:eastAsia="Times New Roman" w:cs="Times New Roman"/>
    </w:rPr>
  </w:style>
  <w:style w:type="character" w:customStyle="1" w:styleId="AnnexHeading1Char">
    <w:name w:val="Annex Heading 1 Char"/>
    <w:basedOn w:val="Heading1Char"/>
    <w:link w:val="AnnexHeading1"/>
    <w:rsid w:val="00FB10D5"/>
    <w:rPr>
      <w:rFonts w:asciiTheme="majorHAnsi" w:eastAsia="Times New Roman" w:hAnsiTheme="majorHAnsi" w:cs="Times New Roman"/>
      <w:b/>
      <w:bCs/>
      <w:color w:val="000000" w:themeColor="text1"/>
      <w:kern w:val="32"/>
      <w:sz w:val="24"/>
      <w:szCs w:val="32"/>
    </w:rPr>
  </w:style>
  <w:style w:type="character" w:customStyle="1" w:styleId="Heading1Char">
    <w:name w:val="Heading 1 Char"/>
    <w:basedOn w:val="DefaultParagraphFont"/>
    <w:link w:val="Heading1"/>
    <w:rsid w:val="00FB10D5"/>
    <w:rPr>
      <w:rFonts w:asciiTheme="majorHAnsi" w:eastAsia="Cambria" w:hAnsiTheme="majorHAnsi" w:cs="Cambria"/>
      <w:b/>
      <w:bCs/>
      <w:color w:val="000000" w:themeColor="text1"/>
      <w:kern w:val="32"/>
      <w:sz w:val="24"/>
      <w:szCs w:val="32"/>
    </w:rPr>
  </w:style>
  <w:style w:type="character" w:customStyle="1" w:styleId="Heading2Char">
    <w:name w:val="Heading 2 Char"/>
    <w:basedOn w:val="DefaultParagraphFont"/>
    <w:link w:val="Heading2"/>
    <w:rsid w:val="00FB10D5"/>
    <w:rPr>
      <w:rFonts w:asciiTheme="majorHAnsi" w:eastAsia="Cambria" w:hAnsiTheme="majorHAnsi" w:cs="Cambria"/>
      <w:b/>
      <w:bCs/>
      <w:iCs/>
      <w:color w:val="000000" w:themeColor="text1"/>
      <w:sz w:val="20"/>
      <w:szCs w:val="20"/>
    </w:rPr>
  </w:style>
  <w:style w:type="character" w:customStyle="1" w:styleId="Heading3Char">
    <w:name w:val="Heading 3 Char"/>
    <w:basedOn w:val="DefaultParagraphFont"/>
    <w:link w:val="Heading3"/>
    <w:rsid w:val="00FB10D5"/>
    <w:rPr>
      <w:rFonts w:asciiTheme="majorHAnsi" w:eastAsia="Cambria" w:hAnsiTheme="majorHAnsi" w:cs="Cambria"/>
      <w:b/>
      <w:bCs/>
      <w:color w:val="000000" w:themeColor="text1"/>
      <w:sz w:val="20"/>
      <w:szCs w:val="26"/>
    </w:rPr>
  </w:style>
  <w:style w:type="character" w:customStyle="1" w:styleId="Heading4Char">
    <w:name w:val="Heading 4 Char"/>
    <w:basedOn w:val="DefaultParagraphFont"/>
    <w:link w:val="Heading4"/>
    <w:rsid w:val="00FB10D5"/>
    <w:rPr>
      <w:rFonts w:asciiTheme="majorHAnsi" w:eastAsia="Cambria" w:hAnsiTheme="majorHAnsi" w:cs="Cambria"/>
      <w:b/>
      <w:bCs/>
      <w:color w:val="000000" w:themeColor="text1"/>
      <w:sz w:val="20"/>
      <w:szCs w:val="28"/>
    </w:rPr>
  </w:style>
  <w:style w:type="character" w:customStyle="1" w:styleId="Heading5Char">
    <w:name w:val="Heading 5 Char"/>
    <w:basedOn w:val="DefaultParagraphFont"/>
    <w:link w:val="Heading5"/>
    <w:uiPriority w:val="9"/>
    <w:rsid w:val="00FB10D5"/>
    <w:rPr>
      <w:rFonts w:asciiTheme="majorHAnsi" w:eastAsiaTheme="majorEastAsia" w:hAnsiTheme="majorHAnsi" w:cstheme="majorBidi"/>
      <w:color w:val="802E08" w:themeColor="accent1" w:themeShade="7F"/>
      <w:sz w:val="20"/>
      <w:szCs w:val="24"/>
    </w:rPr>
  </w:style>
  <w:style w:type="character" w:customStyle="1" w:styleId="Heading6Char">
    <w:name w:val="Heading 6 Char"/>
    <w:basedOn w:val="DefaultParagraphFont"/>
    <w:link w:val="Heading6"/>
    <w:uiPriority w:val="9"/>
    <w:rsid w:val="00FB10D5"/>
    <w:rPr>
      <w:rFonts w:asciiTheme="majorHAnsi" w:eastAsiaTheme="majorEastAsia" w:hAnsiTheme="majorHAnsi" w:cstheme="majorBidi"/>
      <w:i/>
      <w:iCs/>
      <w:color w:val="802E08" w:themeColor="accent1" w:themeShade="7F"/>
      <w:sz w:val="20"/>
      <w:szCs w:val="24"/>
    </w:rPr>
  </w:style>
  <w:style w:type="paragraph" w:styleId="Caption">
    <w:name w:val="caption"/>
    <w:basedOn w:val="Normal"/>
    <w:next w:val="Normal"/>
    <w:uiPriority w:val="35"/>
    <w:semiHidden/>
    <w:unhideWhenUsed/>
    <w:qFormat/>
    <w:rsid w:val="00FB10D5"/>
    <w:pPr>
      <w:spacing w:line="240" w:lineRule="auto"/>
      <w:jc w:val="center"/>
    </w:pPr>
    <w:rPr>
      <w:rFonts w:ascii="Calibri" w:eastAsia="Times New Roman" w:hAnsi="Calibri" w:cs="Times New Roman"/>
      <w:b/>
      <w:bCs/>
      <w:color w:val="7F7F7F" w:themeColor="text1" w:themeTint="80"/>
      <w:sz w:val="18"/>
      <w:szCs w:val="18"/>
    </w:rPr>
  </w:style>
  <w:style w:type="character" w:customStyle="1" w:styleId="TitleChar">
    <w:name w:val="Title Char"/>
    <w:basedOn w:val="DefaultParagraphFont"/>
    <w:link w:val="Title"/>
    <w:uiPriority w:val="10"/>
    <w:rsid w:val="00FB10D5"/>
    <w:rPr>
      <w:rFonts w:ascii="Oxfam Global Headline" w:eastAsiaTheme="majorEastAsia" w:hAnsi="Oxfam Global Headline" w:cstheme="majorBidi"/>
      <w:color w:val="000000" w:themeColor="text1"/>
      <w:spacing w:val="5"/>
      <w:kern w:val="28"/>
      <w:sz w:val="52"/>
      <w:szCs w:val="52"/>
    </w:rPr>
  </w:style>
  <w:style w:type="character" w:styleId="Strong">
    <w:name w:val="Strong"/>
    <w:basedOn w:val="DefaultParagraphFont"/>
    <w:uiPriority w:val="22"/>
    <w:qFormat/>
    <w:rsid w:val="00FB10D5"/>
    <w:rPr>
      <w:rFonts w:ascii="Oxfam TSTAR PRO" w:hAnsi="Oxfam TSTAR PRO"/>
      <w:b/>
      <w:bCs/>
      <w:sz w:val="20"/>
      <w:szCs w:val="20"/>
    </w:rPr>
  </w:style>
  <w:style w:type="character" w:customStyle="1" w:styleId="ListParagraphChar">
    <w:name w:val="List Paragraph Char"/>
    <w:basedOn w:val="DefaultParagraphFont"/>
    <w:link w:val="ListParagraph"/>
    <w:uiPriority w:val="34"/>
    <w:rsid w:val="00FB10D5"/>
  </w:style>
  <w:style w:type="paragraph" w:styleId="TOCHeading">
    <w:name w:val="TOC Heading"/>
    <w:basedOn w:val="Heading1"/>
    <w:next w:val="Normal"/>
    <w:uiPriority w:val="39"/>
    <w:unhideWhenUsed/>
    <w:qFormat/>
    <w:rsid w:val="00FB10D5"/>
    <w:pPr>
      <w:keepLines/>
      <w:numPr>
        <w:numId w:val="0"/>
      </w:numPr>
      <w:spacing w:before="480" w:line="276" w:lineRule="auto"/>
      <w:outlineLvl w:val="9"/>
    </w:pPr>
    <w:rPr>
      <w:rFonts w:eastAsiaTheme="majorEastAsia" w:cstheme="majorBidi"/>
      <w:color w:val="C1450C" w:themeColor="accent1" w:themeShade="BF"/>
      <w:kern w:val="0"/>
      <w:sz w:val="28"/>
      <w:szCs w:val="28"/>
      <w:lang w:val="en-US"/>
    </w:rPr>
  </w:style>
  <w:style w:type="character" w:customStyle="1" w:styleId="NoSpacingChar">
    <w:name w:val="No Spacing Char"/>
    <w:basedOn w:val="DefaultParagraphFont"/>
    <w:link w:val="NoSpacing"/>
    <w:uiPriority w:val="1"/>
    <w:rsid w:val="001B3375"/>
    <w:rPr>
      <w:color w:val="000000" w:themeColor="text1"/>
      <w:sz w:val="20"/>
      <w:szCs w:val="20"/>
    </w:rPr>
  </w:style>
  <w:style w:type="paragraph" w:styleId="TOC1">
    <w:name w:val="toc 1"/>
    <w:basedOn w:val="Normal"/>
    <w:next w:val="Normal"/>
    <w:autoRedefine/>
    <w:uiPriority w:val="39"/>
    <w:unhideWhenUsed/>
    <w:rsid w:val="007A5587"/>
    <w:pPr>
      <w:spacing w:after="100"/>
    </w:pPr>
  </w:style>
  <w:style w:type="paragraph" w:styleId="TOC2">
    <w:name w:val="toc 2"/>
    <w:basedOn w:val="Normal"/>
    <w:next w:val="Normal"/>
    <w:autoRedefine/>
    <w:uiPriority w:val="39"/>
    <w:unhideWhenUsed/>
    <w:rsid w:val="007A5587"/>
    <w:pPr>
      <w:spacing w:after="100"/>
      <w:ind w:left="200"/>
    </w:pPr>
  </w:style>
  <w:style w:type="paragraph" w:styleId="TOC3">
    <w:name w:val="toc 3"/>
    <w:basedOn w:val="Normal"/>
    <w:next w:val="Normal"/>
    <w:autoRedefine/>
    <w:uiPriority w:val="39"/>
    <w:unhideWhenUsed/>
    <w:rsid w:val="007A5587"/>
    <w:pPr>
      <w:spacing w:after="100"/>
      <w:ind w:left="400"/>
    </w:pPr>
  </w:style>
  <w:style w:type="character" w:styleId="Hyperlink">
    <w:name w:val="Hyperlink"/>
    <w:basedOn w:val="DefaultParagraphFont"/>
    <w:uiPriority w:val="99"/>
    <w:unhideWhenUsed/>
    <w:rsid w:val="007A5587"/>
    <w:rPr>
      <w:color w:val="44841A"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219788">
      <w:bodyDiv w:val="1"/>
      <w:marLeft w:val="0"/>
      <w:marRight w:val="0"/>
      <w:marTop w:val="0"/>
      <w:marBottom w:val="0"/>
      <w:divBdr>
        <w:top w:val="none" w:sz="0" w:space="0" w:color="auto"/>
        <w:left w:val="none" w:sz="0" w:space="0" w:color="auto"/>
        <w:bottom w:val="none" w:sz="0" w:space="0" w:color="auto"/>
        <w:right w:val="none" w:sz="0" w:space="0" w:color="auto"/>
      </w:divBdr>
      <w:divsChild>
        <w:div w:id="3367361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3739453">
              <w:blockQuote w:val="1"/>
              <w:marLeft w:val="720"/>
              <w:marRight w:val="720"/>
              <w:marTop w:val="100"/>
              <w:marBottom w:val="100"/>
              <w:divBdr>
                <w:top w:val="none" w:sz="0" w:space="0" w:color="auto"/>
                <w:left w:val="none" w:sz="0" w:space="0" w:color="auto"/>
                <w:bottom w:val="none" w:sz="0" w:space="0" w:color="auto"/>
                <w:right w:val="none" w:sz="0" w:space="0" w:color="auto"/>
              </w:divBdr>
            </w:div>
            <w:div w:id="4473544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63434148">
      <w:bodyDiv w:val="1"/>
      <w:marLeft w:val="0"/>
      <w:marRight w:val="0"/>
      <w:marTop w:val="0"/>
      <w:marBottom w:val="0"/>
      <w:divBdr>
        <w:top w:val="none" w:sz="0" w:space="0" w:color="auto"/>
        <w:left w:val="none" w:sz="0" w:space="0" w:color="auto"/>
        <w:bottom w:val="none" w:sz="0" w:space="0" w:color="auto"/>
        <w:right w:val="none" w:sz="0" w:space="0" w:color="auto"/>
      </w:divBdr>
    </w:div>
    <w:div w:id="1575505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Doris has the stylez">
  <a:themeElements>
    <a:clrScheme name="Oxfam Global Identity">
      <a:dk1>
        <a:srgbClr val="000000"/>
      </a:dk1>
      <a:lt1>
        <a:srgbClr val="FFFFFF"/>
      </a:lt1>
      <a:dk2>
        <a:srgbClr val="61A534"/>
      </a:dk2>
      <a:lt2>
        <a:srgbClr val="0C884A"/>
      </a:lt2>
      <a:accent1>
        <a:srgbClr val="F16422"/>
      </a:accent1>
      <a:accent2>
        <a:srgbClr val="E70052"/>
      </a:accent2>
      <a:accent3>
        <a:srgbClr val="53297D"/>
      </a:accent3>
      <a:accent4>
        <a:srgbClr val="630235"/>
      </a:accent4>
      <a:accent5>
        <a:srgbClr val="5AC6E9"/>
      </a:accent5>
      <a:accent6>
        <a:srgbClr val="E43989"/>
      </a:accent6>
      <a:hlink>
        <a:srgbClr val="44841A"/>
      </a:hlink>
      <a:folHlink>
        <a:srgbClr val="F16422"/>
      </a:folHlink>
    </a:clrScheme>
    <a:fontScheme name="Default Design">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raClrScheme>
      <a:clrScheme name="Default Desig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Default Desig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Default Desig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Default Desig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Default Desig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Default Desig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Default Design 7">
        <a:dk1>
          <a:srgbClr val="5C1F00"/>
        </a:dk1>
        <a:lt1>
          <a:srgbClr val="FFFFFF"/>
        </a:lt1>
        <a:dk2>
          <a:srgbClr val="800000"/>
        </a:dk2>
        <a:lt2>
          <a:srgbClr val="DFD293"/>
        </a:lt2>
        <a:accent1>
          <a:srgbClr val="CC3300"/>
        </a:accent1>
        <a:accent2>
          <a:srgbClr val="BE7960"/>
        </a:accent2>
        <a:accent3>
          <a:srgbClr val="C0AAAA"/>
        </a:accent3>
        <a:accent4>
          <a:srgbClr val="DADADA"/>
        </a:accent4>
        <a:accent5>
          <a:srgbClr val="E2ADAA"/>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Default Desig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Default Desig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Default Desig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Default Desig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Default Desig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
      <a:clrScheme name="Default Design 13">
        <a:dk1>
          <a:srgbClr val="000000"/>
        </a:dk1>
        <a:lt1>
          <a:srgbClr val="FFFFFF"/>
        </a:lt1>
        <a:dk2>
          <a:srgbClr val="61A534"/>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Default Design 14">
        <a:dk1>
          <a:srgbClr val="000000"/>
        </a:dk1>
        <a:lt1>
          <a:srgbClr val="FFFFFF"/>
        </a:lt1>
        <a:dk2>
          <a:srgbClr val="61A534"/>
        </a:dk2>
        <a:lt2>
          <a:srgbClr val="009A4C"/>
        </a:lt2>
        <a:accent1>
          <a:srgbClr val="53297D"/>
        </a:accent1>
        <a:accent2>
          <a:srgbClr val="E43989"/>
        </a:accent2>
        <a:accent3>
          <a:srgbClr val="FFFFFF"/>
        </a:accent3>
        <a:accent4>
          <a:srgbClr val="000000"/>
        </a:accent4>
        <a:accent5>
          <a:srgbClr val="B3ACBF"/>
        </a:accent5>
        <a:accent6>
          <a:srgbClr val="CF337C"/>
        </a:accent6>
        <a:hlink>
          <a:srgbClr val="630235"/>
        </a:hlink>
        <a:folHlink>
          <a:srgbClr val="F1642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8BA04-124F-45F5-B342-1595FB68A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815</Words>
  <Characters>4340</Characters>
  <Application>Microsoft Office Word</Application>
  <DocSecurity>0</DocSecurity>
  <Lines>94</Lines>
  <Paragraphs>41</Paragraphs>
  <ScaleCrop>false</ScaleCrop>
  <HeadingPairs>
    <vt:vector size="2" baseType="variant">
      <vt:variant>
        <vt:lpstr>Title</vt:lpstr>
      </vt:variant>
      <vt:variant>
        <vt:i4>1</vt:i4>
      </vt:variant>
    </vt:vector>
  </HeadingPairs>
  <TitlesOfParts>
    <vt:vector size="1" baseType="lpstr">
      <vt:lpstr>MEDICAL ISOLATION FACILITIES</vt:lpstr>
    </vt:vector>
  </TitlesOfParts>
  <Company>UNICEF</Company>
  <LinksUpToDate>false</LinksUpToDate>
  <CharactersWithSpaces>5114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ISOLATION FACILITIES</dc:title>
  <dc:subject>A technical Briefing Note</dc:subject>
  <dc:creator>James Brown</dc:creator>
  <cp:lastModifiedBy>James Brown</cp:lastModifiedBy>
  <cp:revision>4</cp:revision>
  <dcterms:created xsi:type="dcterms:W3CDTF">2017-01-13T13:09:00Z</dcterms:created>
  <dcterms:modified xsi:type="dcterms:W3CDTF">2017-01-13T13:17:00Z</dcterms:modified>
</cp:coreProperties>
</file>